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9B72D" w14:textId="77777777" w:rsidR="00EE497D" w:rsidRPr="009D400D" w:rsidRDefault="00EE497D" w:rsidP="002A11D7">
      <w:pPr>
        <w:ind w:firstLine="0"/>
        <w:jc w:val="center"/>
        <w:rPr>
          <w:rFonts w:cs="Palemonas"/>
        </w:rPr>
      </w:pPr>
      <w:r w:rsidRPr="009D400D">
        <w:rPr>
          <w:rFonts w:cs="Palemonas"/>
        </w:rPr>
        <w:object w:dxaOrig="948" w:dyaOrig="979" w14:anchorId="585E5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9.2pt" o:ole="" fillcolor="window">
            <v:imagedata r:id="rId8" o:title=""/>
          </v:shape>
          <o:OLEObject Type="Embed" ProgID="Word.Picture.8" ShapeID="_x0000_i1025" DrawAspect="Content" ObjectID="_1668950749" r:id="rId9"/>
        </w:object>
      </w:r>
    </w:p>
    <w:p w14:paraId="7095095E" w14:textId="77777777" w:rsidR="00EE497D" w:rsidRPr="009D400D" w:rsidRDefault="00EE497D" w:rsidP="002A11D7">
      <w:pPr>
        <w:ind w:firstLine="0"/>
        <w:jc w:val="center"/>
        <w:rPr>
          <w:rFonts w:cs="Palemonas"/>
        </w:rPr>
      </w:pPr>
    </w:p>
    <w:p w14:paraId="0BF0B1A7" w14:textId="77777777" w:rsidR="008D4185" w:rsidRPr="009D400D" w:rsidRDefault="00EE497D" w:rsidP="002A11D7">
      <w:pPr>
        <w:ind w:firstLine="0"/>
        <w:jc w:val="center"/>
        <w:rPr>
          <w:rFonts w:cs="Palemonas"/>
          <w:b/>
          <w:bCs/>
          <w:sz w:val="28"/>
          <w:szCs w:val="28"/>
        </w:rPr>
      </w:pPr>
      <w:r w:rsidRPr="009D400D">
        <w:rPr>
          <w:rFonts w:cs="Palemonas"/>
          <w:b/>
          <w:bCs/>
          <w:sz w:val="28"/>
          <w:szCs w:val="28"/>
        </w:rPr>
        <w:t xml:space="preserve">PALANGOS MIESTO SAVIVALDYBĖS ADMINISTRACIJOS </w:t>
      </w:r>
    </w:p>
    <w:p w14:paraId="20955B0E" w14:textId="249BE6C4" w:rsidR="00EE497D" w:rsidRPr="009D400D" w:rsidRDefault="00EE497D" w:rsidP="002A11D7">
      <w:pPr>
        <w:ind w:firstLine="0"/>
        <w:jc w:val="center"/>
        <w:rPr>
          <w:rFonts w:cs="Palemonas"/>
          <w:b/>
          <w:bCs/>
          <w:sz w:val="28"/>
          <w:szCs w:val="28"/>
        </w:rPr>
      </w:pPr>
      <w:r w:rsidRPr="009D400D">
        <w:rPr>
          <w:rFonts w:cs="Palemonas"/>
          <w:b/>
          <w:bCs/>
          <w:sz w:val="28"/>
          <w:szCs w:val="28"/>
        </w:rPr>
        <w:t>ŠVIETIMO SKYRIUS</w:t>
      </w:r>
    </w:p>
    <w:p w14:paraId="1CD2DDF6" w14:textId="77777777" w:rsidR="00EE497D" w:rsidRPr="009D400D" w:rsidRDefault="00EE497D" w:rsidP="002A11D7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099F0D8" w14:textId="6ABF10E8" w:rsidR="00EE497D" w:rsidRPr="009D400D" w:rsidRDefault="00EE497D" w:rsidP="002A11D7">
      <w:pPr>
        <w:pStyle w:val="Default"/>
        <w:spacing w:line="360" w:lineRule="auto"/>
        <w:jc w:val="center"/>
        <w:rPr>
          <w:b/>
          <w:bCs/>
          <w:color w:val="auto"/>
        </w:rPr>
      </w:pPr>
      <w:r w:rsidRPr="009D400D">
        <w:rPr>
          <w:b/>
          <w:bCs/>
          <w:color w:val="auto"/>
        </w:rPr>
        <w:t xml:space="preserve">PALANGOS MIESTO SAVIVALDYBĖS </w:t>
      </w:r>
      <w:r w:rsidRPr="009D400D">
        <w:rPr>
          <w:b/>
          <w:bCs/>
          <w:color w:val="auto"/>
          <w:lang w:val="en-US"/>
        </w:rPr>
        <w:t>2018 M</w:t>
      </w:r>
      <w:r w:rsidR="008D4185" w:rsidRPr="009D400D">
        <w:rPr>
          <w:b/>
          <w:bCs/>
          <w:color w:val="auto"/>
          <w:lang w:val="en-US"/>
        </w:rPr>
        <w:t>ETŲ</w:t>
      </w:r>
      <w:r w:rsidRPr="009D400D">
        <w:rPr>
          <w:b/>
          <w:bCs/>
          <w:color w:val="auto"/>
          <w:lang w:val="en-US"/>
        </w:rPr>
        <w:t xml:space="preserve"> </w:t>
      </w:r>
      <w:r w:rsidRPr="009D400D">
        <w:rPr>
          <w:b/>
          <w:bCs/>
          <w:color w:val="auto"/>
        </w:rPr>
        <w:t>ŠVIETIMO BŪKLĖS IR PAŽANGOS ATASKAITA</w:t>
      </w:r>
    </w:p>
    <w:p w14:paraId="0CB97D71" w14:textId="77777777" w:rsidR="00EE497D" w:rsidRPr="009D400D" w:rsidRDefault="00EE497D" w:rsidP="002A11D7">
      <w:pPr>
        <w:pStyle w:val="Default"/>
        <w:spacing w:line="360" w:lineRule="auto"/>
        <w:ind w:firstLine="1298"/>
        <w:jc w:val="center"/>
        <w:rPr>
          <w:b/>
          <w:bCs/>
          <w:color w:val="auto"/>
        </w:rPr>
      </w:pPr>
    </w:p>
    <w:p w14:paraId="430E0BE7" w14:textId="12DE4458" w:rsidR="00EE497D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</w:rPr>
      </w:pPr>
      <w:r w:rsidRPr="009D400D">
        <w:rPr>
          <w:rFonts w:ascii="Palemonas" w:hAnsi="Palemonas" w:cs="Palemonas"/>
          <w:color w:val="auto"/>
        </w:rPr>
        <w:t>Palangos miesto savivaldybės 2018 metų švietimo pažangos ataskaita parengta atsižvelgiant į Lietuvos Respublikos Seimo patvirtintos Valstybinės švietimo 2013–2022 metų strategijos tikslus ir uždavinius, į Geros mokyklos koncepcijos nuostatas, Palangos miesto savivaldybės švietimo tikslus ir</w:t>
      </w:r>
      <w:bookmarkStart w:id="0" w:name="_GoBack"/>
      <w:bookmarkEnd w:id="0"/>
      <w:r w:rsidRPr="009D400D">
        <w:rPr>
          <w:rFonts w:ascii="Palemonas" w:hAnsi="Palemonas" w:cs="Palemonas"/>
          <w:color w:val="auto"/>
        </w:rPr>
        <w:t xml:space="preserve"> uždavinius, stebėsenos rodiklius, bendrojo ugdymo mokyklų veiklos kokybės įsivertinimo ataskaitas, ŠVIS, Brandos egzaminų, Pagrindinio ugdymo pasiekimų patikrinimo, Nacionalinio mokinių pasiekimų patikrinimo ir Palangos miesto savivaldybės  administracijos turimus duomenis. </w:t>
      </w:r>
    </w:p>
    <w:p w14:paraId="0CEB6B12" w14:textId="77777777" w:rsidR="00EE497D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</w:rPr>
      </w:pPr>
    </w:p>
    <w:p w14:paraId="75138E4F" w14:textId="73F0B1D1" w:rsidR="008D4185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</w:rPr>
      </w:pPr>
      <w:r w:rsidRPr="009D400D">
        <w:rPr>
          <w:rFonts w:ascii="Palemonas" w:hAnsi="Palemonas" w:cs="Palemonas"/>
          <w:color w:val="auto"/>
        </w:rPr>
        <w:t>2018 m. Palangos miesto savivaldybės švietimo tikslai:</w:t>
      </w:r>
    </w:p>
    <w:p w14:paraId="6CEB1C8C" w14:textId="566A390B" w:rsidR="008D4185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  <w:spacing w:val="-9"/>
        </w:rPr>
      </w:pPr>
      <w:r w:rsidRPr="009D400D">
        <w:rPr>
          <w:rFonts w:ascii="Palemonas" w:hAnsi="Palemonas" w:cs="Palemonas"/>
          <w:color w:val="auto"/>
          <w:spacing w:val="-9"/>
        </w:rPr>
        <w:t>1. Kokybiškų švietimo paslaugų teikimas</w:t>
      </w:r>
      <w:r w:rsidR="008D4185" w:rsidRPr="009D400D">
        <w:rPr>
          <w:rFonts w:ascii="Palemonas" w:hAnsi="Palemonas" w:cs="Palemonas"/>
          <w:color w:val="auto"/>
          <w:spacing w:val="-9"/>
        </w:rPr>
        <w:t>;</w:t>
      </w:r>
    </w:p>
    <w:p w14:paraId="3163A45C" w14:textId="65A6A64E" w:rsidR="008D4185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  <w:spacing w:val="-9"/>
        </w:rPr>
      </w:pPr>
      <w:r w:rsidRPr="009D400D">
        <w:rPr>
          <w:rFonts w:ascii="Palemonas" w:hAnsi="Palemonas" w:cs="Palemonas"/>
          <w:color w:val="auto"/>
          <w:spacing w:val="-9"/>
        </w:rPr>
        <w:t>2. Veiksmingos ir darnios, atsakingu valdymu pagrįstos švietimo sistemos vystymas</w:t>
      </w:r>
      <w:r w:rsidR="008D4185" w:rsidRPr="009D400D">
        <w:rPr>
          <w:rFonts w:ascii="Palemonas" w:hAnsi="Palemonas" w:cs="Palemonas"/>
          <w:color w:val="auto"/>
          <w:spacing w:val="-9"/>
        </w:rPr>
        <w:t>;</w:t>
      </w:r>
    </w:p>
    <w:p w14:paraId="4F290CA5" w14:textId="4546EAE8" w:rsidR="008D4185" w:rsidRPr="009D400D" w:rsidRDefault="00EE497D" w:rsidP="002A11D7">
      <w:pPr>
        <w:pStyle w:val="Default"/>
        <w:tabs>
          <w:tab w:val="left" w:pos="567"/>
        </w:tabs>
        <w:ind w:firstLine="1298"/>
        <w:jc w:val="both"/>
        <w:rPr>
          <w:rFonts w:ascii="Palemonas" w:hAnsi="Palemonas" w:cs="Palemonas"/>
          <w:color w:val="auto"/>
          <w:spacing w:val="-9"/>
        </w:rPr>
      </w:pPr>
      <w:r w:rsidRPr="009D400D">
        <w:rPr>
          <w:rFonts w:ascii="Palemonas" w:hAnsi="Palemonas" w:cs="Palemonas"/>
          <w:color w:val="auto"/>
          <w:spacing w:val="-9"/>
        </w:rPr>
        <w:t>3. Išplėtota mieste mokymosi visą gyvenimą švietimo sistema</w:t>
      </w:r>
      <w:r w:rsidR="008D4185" w:rsidRPr="009D400D">
        <w:rPr>
          <w:rFonts w:ascii="Palemonas" w:hAnsi="Palemonas" w:cs="Palemonas"/>
          <w:color w:val="auto"/>
          <w:spacing w:val="-9"/>
        </w:rPr>
        <w:t>.</w:t>
      </w:r>
    </w:p>
    <w:p w14:paraId="3E775653" w14:textId="0B0FEF2D" w:rsidR="00EE497D" w:rsidRPr="009D400D" w:rsidRDefault="008D4185" w:rsidP="002A11D7">
      <w:pPr>
        <w:pStyle w:val="Default"/>
        <w:tabs>
          <w:tab w:val="left" w:pos="567"/>
        </w:tabs>
        <w:ind w:firstLine="1298"/>
        <w:jc w:val="both"/>
        <w:rPr>
          <w:color w:val="auto"/>
        </w:rPr>
      </w:pPr>
      <w:r w:rsidRPr="009D400D">
        <w:rPr>
          <w:rFonts w:ascii="Palemonas" w:hAnsi="Palemonas" w:cs="Palemonas"/>
          <w:color w:val="auto"/>
          <w:spacing w:val="-9"/>
        </w:rPr>
        <w:t>Tikslams įgyvendinti</w:t>
      </w:r>
      <w:r w:rsidR="00EE497D" w:rsidRPr="009D400D">
        <w:rPr>
          <w:rFonts w:ascii="Palemonas" w:hAnsi="Palemonas" w:cs="Palemonas"/>
          <w:color w:val="auto"/>
          <w:spacing w:val="-9"/>
        </w:rPr>
        <w:t xml:space="preserve"> iškelti u</w:t>
      </w:r>
      <w:r w:rsidR="00EE497D" w:rsidRPr="009D400D">
        <w:rPr>
          <w:rFonts w:ascii="Palemonas" w:hAnsi="Palemonas" w:cs="Palemonas"/>
          <w:color w:val="auto"/>
        </w:rPr>
        <w:t xml:space="preserve">ždaviniai: </w:t>
      </w:r>
      <w:r w:rsidRPr="009D400D">
        <w:rPr>
          <w:rFonts w:ascii="Palemonas" w:hAnsi="Palemonas" w:cs="Palemonas"/>
          <w:color w:val="auto"/>
        </w:rPr>
        <w:t>u</w:t>
      </w:r>
      <w:r w:rsidR="00EE497D" w:rsidRPr="009D400D">
        <w:rPr>
          <w:rFonts w:ascii="Palemonas" w:hAnsi="Palemonas" w:cs="Palemonas"/>
          <w:color w:val="auto"/>
        </w:rPr>
        <w:t xml:space="preserve">žtikrinti kokybišką ir šiuolaikišką švietimo paslaugų teikimą, veiksmingą švietimo planavimą ir stebėseną ir sudaryti veiksmingą ir kiekvienam miesto gyventojui prieinamą </w:t>
      </w:r>
      <w:r w:rsidR="00EE497D" w:rsidRPr="009D400D">
        <w:rPr>
          <w:rFonts w:ascii="Palemonas" w:hAnsi="Palemonas" w:cs="Palemonas"/>
          <w:color w:val="auto"/>
          <w:spacing w:val="-9"/>
        </w:rPr>
        <w:t>mokymosi visą gyvenimą švietimo sistemą</w:t>
      </w:r>
      <w:r w:rsidRPr="009D400D">
        <w:rPr>
          <w:rFonts w:ascii="Palemonas" w:hAnsi="Palemonas" w:cs="Palemonas"/>
          <w:color w:val="auto"/>
          <w:spacing w:val="-9"/>
        </w:rPr>
        <w:t xml:space="preserve">. Siektini </w:t>
      </w:r>
      <w:proofErr w:type="spellStart"/>
      <w:r w:rsidRPr="009D400D">
        <w:rPr>
          <w:rFonts w:ascii="Palemonas" w:hAnsi="Palemonas" w:cs="Palemonas"/>
          <w:color w:val="auto"/>
          <w:spacing w:val="-9"/>
        </w:rPr>
        <w:t>tislai</w:t>
      </w:r>
      <w:proofErr w:type="spellEnd"/>
      <w:r w:rsidRPr="009D400D">
        <w:rPr>
          <w:rFonts w:ascii="Palemonas" w:hAnsi="Palemonas" w:cs="Palemonas"/>
          <w:color w:val="auto"/>
          <w:spacing w:val="-9"/>
        </w:rPr>
        <w:t xml:space="preserve"> </w:t>
      </w:r>
      <w:r w:rsidR="00EE497D" w:rsidRPr="009D400D">
        <w:rPr>
          <w:rFonts w:ascii="Palemonas" w:hAnsi="Palemonas" w:cs="Palemonas"/>
          <w:color w:val="auto"/>
          <w:spacing w:val="-9"/>
        </w:rPr>
        <w:t xml:space="preserve"> buvo įgyvendinti. </w:t>
      </w:r>
    </w:p>
    <w:p w14:paraId="03377E41" w14:textId="77777777" w:rsidR="00EE497D" w:rsidRPr="009D400D" w:rsidRDefault="00EE497D" w:rsidP="002A11D7">
      <w:pPr>
        <w:jc w:val="both"/>
        <w:rPr>
          <w:rFonts w:cs="Palemonas"/>
          <w:b/>
          <w:bCs/>
        </w:rPr>
      </w:pPr>
    </w:p>
    <w:p w14:paraId="02F33DC3" w14:textId="7D5738AE" w:rsidR="00EE497D" w:rsidRPr="009D400D" w:rsidRDefault="00EE497D" w:rsidP="00F21C1A">
      <w:pPr>
        <w:ind w:firstLine="1190"/>
      </w:pPr>
      <w:r w:rsidRPr="009D400D">
        <w:rPr>
          <w:b/>
          <w:bCs/>
        </w:rPr>
        <w:t>DABARTINĖ ŠVIETIMO SITUACIJOS ANALIZĖ (SSGG):</w:t>
      </w:r>
    </w:p>
    <w:p w14:paraId="48951385" w14:textId="77777777" w:rsidR="00EE497D" w:rsidRPr="009D400D" w:rsidRDefault="00EE497D" w:rsidP="00EE497D">
      <w:pPr>
        <w:shd w:val="clear" w:color="auto" w:fill="FFFFFF"/>
        <w:spacing w:before="288"/>
        <w:ind w:firstLine="1190"/>
        <w:jc w:val="both"/>
      </w:pPr>
      <w:r w:rsidRPr="009D400D">
        <w:rPr>
          <w:b/>
          <w:bCs/>
        </w:rPr>
        <w:t>STIPRYBĖS</w:t>
      </w:r>
    </w:p>
    <w:p w14:paraId="1A1AB034" w14:textId="16267947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Yra pakankamas formaliojo (pradinio, pagrindinio, vidurinio ugdymo, specialiojo ugdymo) ir neformaliojo vaikų švietimo mokyklų skaičius.</w:t>
      </w:r>
    </w:p>
    <w:p w14:paraId="0CE67364" w14:textId="5D075B41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 xml:space="preserve">Organizuojamas mokinių, gyvenančių kaimo vietovėse toliau kaip </w:t>
      </w:r>
      <w:smartTag w:uri="urn:schemas-microsoft-com:office:smarttags" w:element="metricconverter">
        <w:smartTagPr>
          <w:attr w:name="ProductID" w:val="3 km"/>
        </w:smartTagPr>
        <w:r w:rsidRPr="009D400D">
          <w:t>3 km</w:t>
        </w:r>
      </w:smartTag>
      <w:r w:rsidRPr="009D400D">
        <w:t xml:space="preserve"> iki mokyklos ir specialiųjų poreikių mokinių, pavėžėjimas.</w:t>
      </w:r>
    </w:p>
    <w:p w14:paraId="7FE57527" w14:textId="7E44AADF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Šalia mokyklų tvarkomos sporto ir laisvalaikio erdvės. Įrengti 2 mažojo futbolo aikštynai. Senosios gimnazijos teritorijoje – ekstremalaus sporto įrenginiai.</w:t>
      </w:r>
    </w:p>
    <w:p w14:paraId="20CC515B" w14:textId="2B5C1A2F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Savivaldybė nelikvidavo nė vienos neformaliojo vaikų švietimo įstaigos.</w:t>
      </w:r>
    </w:p>
    <w:p w14:paraId="5959D105" w14:textId="07654994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Mokinių saugumo mokyklose užtikrinimui įrengtos stebėjimo kameros.</w:t>
      </w:r>
    </w:p>
    <w:p w14:paraId="65B49929" w14:textId="53C477B3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 xml:space="preserve"> Kasmet atnaujinama ikimokyklinio ugdymo įstaigų materialinė bazė.</w:t>
      </w:r>
    </w:p>
    <w:p w14:paraId="5C64ACC2" w14:textId="3330EC10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Kasmet iš savivaldybės biudžeto skiriama lėšų mokinių saviraiškos, socializacijos, pilietinio ir tautinio ugdymo, sporto programoms bei vaikų vasaros poilsiui organizuoti.</w:t>
      </w:r>
    </w:p>
    <w:p w14:paraId="1D4479C7" w14:textId="76DCFA13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Akredituota Švietimo pagalbos taryba teikia kokybiškas paslaugas mokiniams, tėvams ir mokytojams.</w:t>
      </w:r>
    </w:p>
    <w:p w14:paraId="67007EF6" w14:textId="1672AA0F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Itin išaugo vaikų, lankančių ikimokyklinio ugdymo įstaigas, skaičius.</w:t>
      </w:r>
    </w:p>
    <w:p w14:paraId="1913A200" w14:textId="47F2BE5E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Sėkmingai vykdoma TAU (trečiojo amžiaus žmonių universitetas) veikla leidžia plėtoti suaugusiųjų neformaliojo švietimo poreikių tenkinimą.</w:t>
      </w:r>
    </w:p>
    <w:p w14:paraId="213A8C6E" w14:textId="467DE979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Palangos miesto savivaldybės 2018-2020 metų strateginiame veiklos plane ir Palangos miesto strateginiame plėtros plane iki 2020 metų numatytos svarbiausios švietimo vystymo kryptys.</w:t>
      </w:r>
    </w:p>
    <w:p w14:paraId="5E2A14CD" w14:textId="138F5FAF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lastRenderedPageBreak/>
        <w:t>Kasmet vykdoma Palangos miesto savivaldybės mokyklų stebėsena, rengiama ataskaita, pažangos apžvalga ir skelbiama interneto svetainėje, su kuria gali susipažinti visa miesto bendruomenė.</w:t>
      </w:r>
    </w:p>
    <w:p w14:paraId="0F6CE932" w14:textId="7E566E9F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Aktyviai dalyvaujama Europos Sąjungos ir Valstybės biudžeto finansuojamose programose ir projektuose.</w:t>
      </w:r>
    </w:p>
    <w:p w14:paraId="603AEC25" w14:textId="0D777FE0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Visos savivaldybės bendrojo ugdymo mokyklos dalyvauja standartizuotų testų įsivertinimuose, mokinių rezultatai yra vieni geriausių šalyje arba patenka į trečdalį geriausių šalyje.</w:t>
      </w:r>
    </w:p>
    <w:p w14:paraId="4F821E22" w14:textId="34261DF3" w:rsidR="00EE497D" w:rsidRPr="009D400D" w:rsidRDefault="00EE497D" w:rsidP="00EE497D">
      <w:pPr>
        <w:shd w:val="clear" w:color="auto" w:fill="FFFFFF"/>
        <w:tabs>
          <w:tab w:val="left" w:pos="2774"/>
        </w:tabs>
        <w:spacing w:before="19" w:line="259" w:lineRule="exact"/>
        <w:ind w:firstLine="1254"/>
        <w:jc w:val="both"/>
      </w:pPr>
      <w:r w:rsidRPr="009D400D">
        <w:t>Geri mokinių pagrindinio ugdymo pasiekimų ir valstybinių brandos egzaminų rezultatai.</w:t>
      </w:r>
    </w:p>
    <w:p w14:paraId="4DCADE42" w14:textId="77777777" w:rsidR="00EE497D" w:rsidRPr="009D400D" w:rsidRDefault="00EE497D" w:rsidP="00EE497D">
      <w:pPr>
        <w:shd w:val="clear" w:color="auto" w:fill="FFFFFF"/>
        <w:spacing w:before="269" w:line="269" w:lineRule="exact"/>
        <w:ind w:left="1334"/>
        <w:rPr>
          <w:b/>
          <w:bCs/>
        </w:rPr>
      </w:pPr>
      <w:r w:rsidRPr="009D400D">
        <w:rPr>
          <w:b/>
          <w:bCs/>
        </w:rPr>
        <w:t>SILPNYBĖS</w:t>
      </w:r>
    </w:p>
    <w:p w14:paraId="7ABD76FE" w14:textId="77777777" w:rsidR="00EE497D" w:rsidRPr="009D400D" w:rsidRDefault="00EE497D" w:rsidP="00F21C1A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69" w:lineRule="exact"/>
        <w:ind w:right="29"/>
        <w:jc w:val="both"/>
        <w:rPr>
          <w:spacing w:val="-13"/>
        </w:rPr>
      </w:pPr>
      <w:r w:rsidRPr="009D400D">
        <w:t>Nepakankamai užtikrintas Lietuvos higienos normų laikymasis mokyklose, kadangi įstaigoms neskiriama lėšų einamiesiems remontams.</w:t>
      </w:r>
    </w:p>
    <w:p w14:paraId="518AF97D" w14:textId="77777777" w:rsidR="00EE497D" w:rsidRPr="009D400D" w:rsidRDefault="00EE497D" w:rsidP="00F21C1A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69" w:lineRule="exact"/>
        <w:ind w:right="19" w:firstLine="0"/>
        <w:jc w:val="both"/>
      </w:pPr>
      <w:r w:rsidRPr="009D400D">
        <w:t>Itin mažas kompiuterių skaičius ikimokyklinio, bendrojo ir neformaliojo vaikų švietimo mokyklose, trūksta šiuolaikiškų, modernių vaikų ugdymo priemonių ir įkurtų modernių edukacinių erdvių.</w:t>
      </w:r>
    </w:p>
    <w:p w14:paraId="5B921D21" w14:textId="77777777" w:rsidR="00EE497D" w:rsidRPr="009D400D" w:rsidRDefault="00EE497D" w:rsidP="00F21C1A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69" w:lineRule="exact"/>
        <w:ind w:right="10" w:firstLine="0"/>
        <w:jc w:val="both"/>
        <w:rPr>
          <w:spacing w:val="-3"/>
        </w:rPr>
      </w:pPr>
      <w:r w:rsidRPr="009D400D">
        <w:t>Ribotas neformaliojo švietimo programų pasirinkimas, ypač trūksta techninės krypties būrelių vaikams.</w:t>
      </w:r>
    </w:p>
    <w:p w14:paraId="0F746A56" w14:textId="77777777" w:rsidR="00EE497D" w:rsidRPr="009D400D" w:rsidRDefault="00EE497D" w:rsidP="00EE497D">
      <w:pPr>
        <w:shd w:val="clear" w:color="auto" w:fill="FFFFFF"/>
        <w:spacing w:before="288"/>
        <w:ind w:left="1325"/>
      </w:pPr>
      <w:r w:rsidRPr="009D400D">
        <w:rPr>
          <w:b/>
          <w:bCs/>
        </w:rPr>
        <w:t>GALIMYBĖS</w:t>
      </w:r>
    </w:p>
    <w:p w14:paraId="00201593" w14:textId="00F48BEC" w:rsidR="00EE497D" w:rsidRPr="009D400D" w:rsidRDefault="00EE497D" w:rsidP="00EE497D">
      <w:pPr>
        <w:shd w:val="clear" w:color="auto" w:fill="FFFFFF"/>
        <w:tabs>
          <w:tab w:val="left" w:pos="1670"/>
        </w:tabs>
        <w:spacing w:line="288" w:lineRule="exact"/>
        <w:ind w:left="19" w:right="10" w:firstLine="1334"/>
        <w:jc w:val="both"/>
      </w:pPr>
      <w:r w:rsidRPr="009D400D">
        <w:t>Dalyvauti LR švietimo ir mokslo ministerijos bei kituose organizuojamuose projektuose.</w:t>
      </w:r>
    </w:p>
    <w:p w14:paraId="69E861F2" w14:textId="40A899E0" w:rsidR="00EE497D" w:rsidRPr="009D400D" w:rsidRDefault="00EE497D" w:rsidP="00EE497D">
      <w:pPr>
        <w:shd w:val="clear" w:color="auto" w:fill="FFFFFF"/>
        <w:tabs>
          <w:tab w:val="left" w:pos="1670"/>
        </w:tabs>
        <w:spacing w:line="288" w:lineRule="exact"/>
        <w:ind w:left="19" w:right="10" w:firstLine="1334"/>
        <w:jc w:val="both"/>
      </w:pPr>
      <w:r w:rsidRPr="009D400D">
        <w:t>Plėtoti neformaliojo vaikų švietimo paslaugas ir įsisavinti visas NVŠ programoms skiriamas lėšas.</w:t>
      </w:r>
    </w:p>
    <w:p w14:paraId="13026DF0" w14:textId="1BBD2FAE" w:rsidR="00EE497D" w:rsidRPr="009D400D" w:rsidRDefault="00EE497D" w:rsidP="00EE497D">
      <w:pPr>
        <w:shd w:val="clear" w:color="auto" w:fill="FFFFFF"/>
        <w:tabs>
          <w:tab w:val="left" w:pos="1651"/>
        </w:tabs>
        <w:spacing w:line="269" w:lineRule="exact"/>
        <w:ind w:left="19" w:right="10" w:firstLine="1325"/>
        <w:jc w:val="both"/>
      </w:pPr>
      <w:r w:rsidRPr="009D400D">
        <w:t>Teikti išsamesnę informaciją visuomenei apie švietimo situaciją Savivaldybėje interneto puslapyje.</w:t>
      </w:r>
    </w:p>
    <w:p w14:paraId="5F405D10" w14:textId="43DAE4A0" w:rsidR="00EE497D" w:rsidRPr="009D400D" w:rsidRDefault="00EE497D" w:rsidP="00EE497D">
      <w:pPr>
        <w:shd w:val="clear" w:color="auto" w:fill="FFFFFF"/>
        <w:tabs>
          <w:tab w:val="left" w:pos="1680"/>
        </w:tabs>
        <w:spacing w:line="269" w:lineRule="exact"/>
        <w:ind w:left="29" w:right="19" w:firstLine="1315"/>
        <w:jc w:val="both"/>
      </w:pPr>
      <w:r w:rsidRPr="009D400D">
        <w:t>Siekti didesnio vaikų socializacijos, vaikų vasaros poilsio ir kitų programų finansavimo, kad būtų užtikrinamas prasmingas paauglių laisvalaikio praleidimas.</w:t>
      </w:r>
    </w:p>
    <w:p w14:paraId="433F1697" w14:textId="3F81B3BA" w:rsidR="00EE497D" w:rsidRPr="009D400D" w:rsidRDefault="00EE497D" w:rsidP="00EE497D">
      <w:pPr>
        <w:shd w:val="clear" w:color="auto" w:fill="FFFFFF"/>
        <w:tabs>
          <w:tab w:val="left" w:pos="1680"/>
        </w:tabs>
        <w:spacing w:line="269" w:lineRule="exact"/>
        <w:ind w:left="29" w:right="19" w:firstLine="1315"/>
        <w:jc w:val="both"/>
      </w:pPr>
      <w:r w:rsidRPr="009D400D">
        <w:t>Dalyvauti LR švietimo ir mokslo ministerijos Švietimo aprūpinimo centro koordinuojamame projekte „Lyderių laikas 3“.</w:t>
      </w:r>
    </w:p>
    <w:p w14:paraId="66526848" w14:textId="6DD8CC18" w:rsidR="00EE497D" w:rsidRPr="009D400D" w:rsidRDefault="00EE497D" w:rsidP="00EE497D">
      <w:pPr>
        <w:shd w:val="clear" w:color="auto" w:fill="FFFFFF"/>
        <w:tabs>
          <w:tab w:val="left" w:pos="1680"/>
        </w:tabs>
        <w:spacing w:line="269" w:lineRule="exact"/>
        <w:ind w:left="38" w:firstLine="1315"/>
        <w:jc w:val="both"/>
      </w:pPr>
      <w:r w:rsidRPr="009D400D">
        <w:t>Atnaujinti ir modernizuoti bendrojo ugdymo ir ikimokyklinio ugdymo mokyklų sporto bei lauko aikštynus ir jų įrangą.</w:t>
      </w:r>
    </w:p>
    <w:p w14:paraId="027792AA" w14:textId="77777777" w:rsidR="00EE497D" w:rsidRPr="009D400D" w:rsidRDefault="00EE497D" w:rsidP="00EE497D">
      <w:pPr>
        <w:shd w:val="clear" w:color="auto" w:fill="FFFFFF"/>
        <w:spacing w:before="288"/>
        <w:ind w:left="1334"/>
      </w:pPr>
      <w:r w:rsidRPr="009D400D">
        <w:rPr>
          <w:b/>
          <w:bCs/>
        </w:rPr>
        <w:t>GRĖSMĖS</w:t>
      </w:r>
    </w:p>
    <w:p w14:paraId="40422494" w14:textId="6950AB68" w:rsidR="00EE497D" w:rsidRPr="009D400D" w:rsidRDefault="00EE497D" w:rsidP="00EE497D">
      <w:pPr>
        <w:shd w:val="clear" w:color="auto" w:fill="FFFFFF"/>
        <w:tabs>
          <w:tab w:val="left" w:pos="1661"/>
        </w:tabs>
        <w:spacing w:line="278" w:lineRule="exact"/>
        <w:ind w:left="29" w:right="10" w:firstLine="1344"/>
        <w:jc w:val="both"/>
      </w:pPr>
      <w:r w:rsidRPr="009D400D">
        <w:t xml:space="preserve">Nepalankūs savivaldybėje demografiniai pokyčiai ir migracija. </w:t>
      </w:r>
    </w:p>
    <w:p w14:paraId="44820AAC" w14:textId="03E3B4C5" w:rsidR="00EE497D" w:rsidRPr="009D400D" w:rsidRDefault="00EE497D" w:rsidP="00EE497D">
      <w:pPr>
        <w:shd w:val="clear" w:color="auto" w:fill="FFFFFF"/>
        <w:tabs>
          <w:tab w:val="left" w:pos="1661"/>
        </w:tabs>
        <w:spacing w:line="278" w:lineRule="exact"/>
        <w:ind w:left="29" w:right="10" w:firstLine="1344"/>
        <w:jc w:val="both"/>
      </w:pPr>
      <w:r w:rsidRPr="009D400D">
        <w:t>Mokinių mokymosi motyvacijos stoka.</w:t>
      </w:r>
    </w:p>
    <w:p w14:paraId="5A2114DD" w14:textId="77777777" w:rsidR="00377218" w:rsidRPr="009D400D" w:rsidRDefault="00377218" w:rsidP="009B7458">
      <w:pPr>
        <w:spacing w:line="280" w:lineRule="atLeast"/>
        <w:ind w:firstLine="0"/>
        <w:jc w:val="both"/>
        <w:rPr>
          <w:rFonts w:eastAsia="Times New Roman" w:cs="Times New Roman"/>
          <w:szCs w:val="24"/>
          <w:lang w:eastAsia="lt-LT"/>
        </w:rPr>
        <w:sectPr w:rsidR="00377218" w:rsidRPr="009D400D" w:rsidSect="00333672">
          <w:headerReference w:type="default" r:id="rId10"/>
          <w:pgSz w:w="11906" w:h="16838" w:code="9"/>
          <w:pgMar w:top="1134" w:right="567" w:bottom="1134" w:left="1701" w:header="567" w:footer="567" w:gutter="0"/>
          <w:paperSrc w:first="7"/>
          <w:cols w:space="1296"/>
          <w:titlePg/>
          <w:docGrid w:linePitch="360"/>
        </w:sectPr>
      </w:pPr>
    </w:p>
    <w:p w14:paraId="422A5A2C" w14:textId="77777777" w:rsidR="00377218" w:rsidRPr="009D400D" w:rsidRDefault="00377218" w:rsidP="00377218">
      <w:pPr>
        <w:spacing w:line="280" w:lineRule="atLeast"/>
        <w:ind w:firstLine="0"/>
        <w:jc w:val="both"/>
        <w:rPr>
          <w:rFonts w:eastAsia="Times New Roman" w:cs="Times New Roman"/>
          <w:szCs w:val="24"/>
          <w:lang w:eastAsia="lt-LT"/>
        </w:rPr>
      </w:pPr>
    </w:p>
    <w:p w14:paraId="6DD2156F" w14:textId="38F990B5" w:rsidR="00377218" w:rsidRPr="009D400D" w:rsidRDefault="00377218" w:rsidP="00377218">
      <w:pPr>
        <w:spacing w:line="280" w:lineRule="atLeast"/>
        <w:ind w:firstLine="0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9D400D">
        <w:rPr>
          <w:rFonts w:eastAsia="Times New Roman" w:cs="Times New Roman"/>
          <w:b/>
          <w:bCs/>
          <w:szCs w:val="24"/>
          <w:lang w:eastAsia="lt-LT"/>
        </w:rPr>
        <w:t>ŠVIETIMO KONTEKSTAS</w:t>
      </w:r>
    </w:p>
    <w:p w14:paraId="2F8D4028" w14:textId="77777777" w:rsidR="00377218" w:rsidRPr="009D400D" w:rsidRDefault="00377218" w:rsidP="00377218">
      <w:pPr>
        <w:spacing w:line="280" w:lineRule="atLeast"/>
        <w:ind w:firstLine="1296"/>
        <w:jc w:val="both"/>
        <w:rPr>
          <w:rFonts w:eastAsia="Times New Roman" w:cs="Times New Roman"/>
          <w:szCs w:val="24"/>
          <w:lang w:eastAsia="lt-LT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545"/>
        <w:gridCol w:w="8950"/>
        <w:gridCol w:w="2248"/>
      </w:tblGrid>
      <w:tr w:rsidR="009D400D" w:rsidRPr="009D400D" w14:paraId="20C488EF" w14:textId="77777777" w:rsidTr="0073381A">
        <w:tc>
          <w:tcPr>
            <w:tcW w:w="1703" w:type="dxa"/>
            <w:shd w:val="clear" w:color="auto" w:fill="8EAADB" w:themeFill="accent1" w:themeFillTint="99"/>
          </w:tcPr>
          <w:p w14:paraId="58E309AF" w14:textId="77777777" w:rsidR="00784DB0" w:rsidRPr="009D400D" w:rsidRDefault="00784DB0" w:rsidP="00377218">
            <w:pPr>
              <w:spacing w:line="280" w:lineRule="atLeast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bookmarkStart w:id="1" w:name="_Hlk57987640"/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Kriterijus</w:t>
            </w:r>
          </w:p>
        </w:tc>
        <w:tc>
          <w:tcPr>
            <w:tcW w:w="2545" w:type="dxa"/>
            <w:shd w:val="clear" w:color="auto" w:fill="8EAADB" w:themeFill="accent1" w:themeFillTint="99"/>
          </w:tcPr>
          <w:p w14:paraId="18F75F89" w14:textId="72E3EF31" w:rsidR="00784DB0" w:rsidRPr="009D400D" w:rsidRDefault="00784DB0" w:rsidP="00377218">
            <w:pPr>
              <w:spacing w:line="280" w:lineRule="atLeast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Siekinys </w:t>
            </w:r>
            <w:r w:rsidR="0073381A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iki 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2020 m.</w:t>
            </w:r>
          </w:p>
        </w:tc>
        <w:tc>
          <w:tcPr>
            <w:tcW w:w="8950" w:type="dxa"/>
            <w:shd w:val="clear" w:color="auto" w:fill="8EAADB" w:themeFill="accent1" w:themeFillTint="99"/>
          </w:tcPr>
          <w:p w14:paraId="077C8546" w14:textId="704176FD" w:rsidR="00784DB0" w:rsidRPr="009D400D" w:rsidRDefault="00784DB0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Pasiektas rezultatas 2018 m. </w:t>
            </w:r>
          </w:p>
        </w:tc>
        <w:tc>
          <w:tcPr>
            <w:tcW w:w="2248" w:type="dxa"/>
            <w:shd w:val="clear" w:color="auto" w:fill="8EAADB" w:themeFill="accent1" w:themeFillTint="99"/>
          </w:tcPr>
          <w:p w14:paraId="018685B8" w14:textId="1030FB3F" w:rsidR="00784DB0" w:rsidRPr="009D400D" w:rsidRDefault="001C159E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Pažanga </w:t>
            </w:r>
          </w:p>
        </w:tc>
      </w:tr>
      <w:bookmarkEnd w:id="1"/>
      <w:tr w:rsidR="009D400D" w:rsidRPr="009D400D" w14:paraId="29409D54" w14:textId="77777777" w:rsidTr="00DB4589">
        <w:tc>
          <w:tcPr>
            <w:tcW w:w="1703" w:type="dxa"/>
            <w:shd w:val="clear" w:color="auto" w:fill="auto"/>
          </w:tcPr>
          <w:p w14:paraId="2EC60F4B" w14:textId="77777777" w:rsidR="00784DB0" w:rsidRPr="009D400D" w:rsidRDefault="00784DB0" w:rsidP="00377218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Mokyklų atvirumas </w:t>
            </w:r>
          </w:p>
        </w:tc>
        <w:tc>
          <w:tcPr>
            <w:tcW w:w="2545" w:type="dxa"/>
            <w:shd w:val="clear" w:color="auto" w:fill="auto"/>
          </w:tcPr>
          <w:p w14:paraId="7F4586BF" w14:textId="77777777" w:rsidR="00784DB0" w:rsidRPr="009D400D" w:rsidRDefault="00784DB0" w:rsidP="00377218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Maksimali rodiklio reikšmė – 100 %: visos bendrojo ugdymo mokyklos skelbia savo pažangos ataskaitas ŠVIS`e ir mokyklos interneto svetainėje ir visos neformaliojo švietimo įstaigos skelbia viešai pažangos ir veiklos kokybės įsivertinimo ataskaitas, visose mokyklose atliktas mokyklos veiklos išorinis vertinimas. </w:t>
            </w:r>
          </w:p>
        </w:tc>
        <w:tc>
          <w:tcPr>
            <w:tcW w:w="8950" w:type="dxa"/>
          </w:tcPr>
          <w:p w14:paraId="1360947D" w14:textId="7EB5DC92" w:rsidR="009B7458" w:rsidRPr="009D400D" w:rsidRDefault="00784DB0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2018 m. MNVA mokyklų išorinį vertinimą Palangos miesto savivaldybėje nevykdė.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>Išorinis bendrojo ugdymo mokyklų vertinimas iki 2017 m. buvo atliktas 3 (iš 6) mokyklų.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 xml:space="preserve">Pažangos ataskaitas ŠVIS`e paskelbė 4 bendrojo ugdymo mokyklos iš 6 (Senoji gimnazija, Pradinė mokykla, Vlado Jurgučio pagrindinė mokykla, „Baltijos“ pagrindinė mokykla), (2017 m. </w:t>
            </w:r>
            <w:proofErr w:type="spellStart"/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>Švis`e</w:t>
            </w:r>
            <w:proofErr w:type="spellEnd"/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 xml:space="preserve"> ataskaitas </w:t>
            </w:r>
            <w:r w:rsidR="008D4185" w:rsidRPr="009D400D">
              <w:rPr>
                <w:rFonts w:eastAsia="Times New Roman" w:cs="Times New Roman"/>
                <w:szCs w:val="24"/>
                <w:lang w:eastAsia="lt-LT"/>
              </w:rPr>
              <w:t xml:space="preserve">buvo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>paskelb</w:t>
            </w:r>
            <w:r w:rsidR="008D4185" w:rsidRPr="009D400D">
              <w:rPr>
                <w:rFonts w:eastAsia="Times New Roman" w:cs="Times New Roman"/>
                <w:szCs w:val="24"/>
                <w:lang w:eastAsia="lt-LT"/>
              </w:rPr>
              <w:t xml:space="preserve">usios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>3mokyklos).</w:t>
            </w:r>
          </w:p>
          <w:p w14:paraId="425FEE3D" w14:textId="6C0E0731" w:rsidR="00784DB0" w:rsidRPr="009D400D" w:rsidRDefault="001C159E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Išorės veiklos vertinimas </w:t>
            </w:r>
            <w:r w:rsidR="008D4185" w:rsidRPr="009D400D">
              <w:rPr>
                <w:rFonts w:eastAsia="Times New Roman" w:cs="Times New Roman"/>
                <w:szCs w:val="24"/>
                <w:lang w:eastAsia="lt-LT"/>
              </w:rPr>
              <w:t xml:space="preserve">visose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ikimokyklinio ugdymo įstaigose ir neformaliojo švietimo įstaigose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 xml:space="preserve">Savivaldybėje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buvo atliktas iki 2016 m. Švietimo įstaigos 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 xml:space="preserve">vykdo  pažangos stebėjimą. </w:t>
            </w:r>
          </w:p>
          <w:p w14:paraId="3929979F" w14:textId="030138B6" w:rsidR="00784DB0" w:rsidRPr="009D400D" w:rsidRDefault="009B7458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Nė viena mokykla </w:t>
            </w:r>
            <w:r w:rsidR="008D4185" w:rsidRPr="009D400D">
              <w:rPr>
                <w:rFonts w:eastAsia="Times New Roman" w:cs="Times New Roman"/>
                <w:szCs w:val="24"/>
                <w:lang w:eastAsia="lt-LT"/>
              </w:rPr>
              <w:t xml:space="preserve">savo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784DB0" w:rsidRPr="009D400D">
              <w:rPr>
                <w:rFonts w:eastAsia="Times New Roman" w:cs="Times New Roman"/>
                <w:szCs w:val="24"/>
                <w:lang w:eastAsia="lt-LT"/>
              </w:rPr>
              <w:t>okyklos veiklos kokybės įsivertinimo ataskait</w:t>
            </w:r>
            <w:r w:rsidR="008D4185" w:rsidRPr="009D400D">
              <w:rPr>
                <w:rFonts w:eastAsia="Times New Roman" w:cs="Times New Roman"/>
                <w:szCs w:val="24"/>
                <w:lang w:eastAsia="lt-LT"/>
              </w:rPr>
              <w:t>ų</w:t>
            </w:r>
            <w:r w:rsidR="00784DB0" w:rsidRPr="009D400D">
              <w:rPr>
                <w:rFonts w:eastAsia="Times New Roman" w:cs="Times New Roman"/>
                <w:szCs w:val="24"/>
                <w:lang w:eastAsia="lt-LT"/>
              </w:rPr>
              <w:t xml:space="preserve"> už </w:t>
            </w:r>
            <w:r w:rsidR="003D1826" w:rsidRPr="009D400D">
              <w:rPr>
                <w:rFonts w:eastAsia="Times New Roman" w:cs="Times New Roman"/>
                <w:szCs w:val="24"/>
                <w:lang w:eastAsia="lt-LT"/>
              </w:rPr>
              <w:t xml:space="preserve">2018-2019 </w:t>
            </w:r>
            <w:r w:rsidR="00784DB0" w:rsidRPr="009D400D">
              <w:rPr>
                <w:rFonts w:eastAsia="Times New Roman" w:cs="Times New Roman"/>
                <w:szCs w:val="24"/>
                <w:lang w:eastAsia="lt-LT"/>
              </w:rPr>
              <w:t>m. m. mokyklos interneto svetainėje nepaskelbė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  <w:p w14:paraId="6E46EC3A" w14:textId="60E93DBC" w:rsidR="00784DB0" w:rsidRPr="009D400D" w:rsidRDefault="001C159E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Mokyklos veiklos kokybę įsivertina, tačiau tai, kad ši informacija nėra skelbiama mokyklos interneto puslapyje, leidžia daryti išvadą, kad šios veiklos sritis arba nėra aktuali</w:t>
            </w:r>
            <w:r w:rsidR="009B7458" w:rsidRPr="009D400D">
              <w:rPr>
                <w:rFonts w:eastAsia="Times New Roman" w:cs="Times New Roman"/>
                <w:szCs w:val="24"/>
                <w:lang w:eastAsia="lt-LT"/>
              </w:rPr>
              <w:t xml:space="preserve"> ir mažai skiria tam dėmesio. </w:t>
            </w:r>
          </w:p>
        </w:tc>
        <w:tc>
          <w:tcPr>
            <w:tcW w:w="2248" w:type="dxa"/>
            <w:shd w:val="clear" w:color="auto" w:fill="auto"/>
          </w:tcPr>
          <w:p w14:paraId="166CD4EA" w14:textId="7B3EC077" w:rsidR="003D1826" w:rsidRPr="009D400D" w:rsidRDefault="003D1826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</w:t>
            </w:r>
            <w:r w:rsidR="002A11D7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, bet planuota reikšmė nepasiekta. </w:t>
            </w:r>
          </w:p>
          <w:p w14:paraId="316A92BD" w14:textId="52166613" w:rsidR="001423DA" w:rsidRPr="009D400D" w:rsidRDefault="001423DA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Įvykdyta – 70 proc.</w:t>
            </w:r>
          </w:p>
          <w:p w14:paraId="7D72695A" w14:textId="35BFB418" w:rsidR="002A11D7" w:rsidRPr="009D400D" w:rsidRDefault="002A11D7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9D400D" w:rsidRPr="009D400D" w14:paraId="66C7F1E0" w14:textId="77777777" w:rsidTr="004F3E68">
        <w:trPr>
          <w:trHeight w:val="3640"/>
        </w:trPr>
        <w:tc>
          <w:tcPr>
            <w:tcW w:w="1703" w:type="dxa"/>
            <w:vMerge w:val="restart"/>
            <w:shd w:val="clear" w:color="auto" w:fill="auto"/>
          </w:tcPr>
          <w:p w14:paraId="052D674F" w14:textId="77777777" w:rsidR="00F21C1A" w:rsidRPr="009D400D" w:rsidRDefault="00F21C1A" w:rsidP="00CB298B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Mokyklų tinklo pertvarka </w:t>
            </w:r>
          </w:p>
          <w:p w14:paraId="2EE06E44" w14:textId="6EF24829" w:rsidR="00F21C1A" w:rsidRPr="009D400D" w:rsidRDefault="00F21C1A" w:rsidP="00CB298B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45" w:type="dxa"/>
            <w:shd w:val="clear" w:color="auto" w:fill="auto"/>
          </w:tcPr>
          <w:p w14:paraId="72F2FCDE" w14:textId="77777777" w:rsidR="00F21C1A" w:rsidRPr="009D400D" w:rsidRDefault="00F21C1A" w:rsidP="00CB298B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Maksimali rodiklio reikšmė – 100 %.</w:t>
            </w:r>
          </w:p>
          <w:p w14:paraId="11E76615" w14:textId="77777777" w:rsidR="00F21C1A" w:rsidRPr="009D400D" w:rsidRDefault="00F21C1A" w:rsidP="00CB298B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50" w:type="dxa"/>
          </w:tcPr>
          <w:p w14:paraId="0B0CAEE1" w14:textId="1CAB26BA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 xml:space="preserve">Savivaldybė turi optimalų pradinio, pagrindinio, vidurinio ir neformaliojo vaikų švietimo programų teikėjų tinklą, kuris užtikrina asmenų ugdymąsi, pagalbą mokiniui, mokytojui ir mokyklai, suaugusių įtraukimą į suaugusiųjų neformaliojo švietimo veiklas (Trečiojo amžiaus universitetą).Savivaldybėje veikia: 1 gimnazija, vykdanti pagrindinio ugdymo II dalies ir vidurinio ugdymo programas, 1 gimnazija – regioninė Sanatorinė mokykla, vykdanti priešmokyklinio, pradinio, pagrindinio ir vidurinio ugdymo programas, 3 pagrindinio ugdymo mokyklos, vykdančios pradinio ir pagrindinio ugdymo programas ir 1 iš jų vykdanti pradinio ir pagrindinio ugdymo specialiąsias ugdymo programas 1 pradinė mokykla, vykdanti pradinio ugdymo programą, 6 ikimokyklinio ugdymo mokyklos, vykdančios priešmokyklinio ir ikimokyklinio ugdymo programas, ir 3 neformaliojo vaikų švietimo įstaigos, 1 švietimo pagalbos tarnyba. </w:t>
            </w:r>
          </w:p>
          <w:p w14:paraId="2CBA4FC0" w14:textId="0AC5C22E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Bendrojo ugdymo mokyklų tinklo pertvarka 2018 m. nevykdyta, buvo atliekama bendrojo ugdymo mokyklų tinklo pertvarkos bendrojo plano stebėsena.  </w:t>
            </w:r>
          </w:p>
        </w:tc>
        <w:tc>
          <w:tcPr>
            <w:tcW w:w="2248" w:type="dxa"/>
            <w:shd w:val="clear" w:color="auto" w:fill="auto"/>
          </w:tcPr>
          <w:p w14:paraId="33D3FE1A" w14:textId="595C91CC" w:rsidR="00F21C1A" w:rsidRPr="009D400D" w:rsidRDefault="00F21C1A" w:rsidP="009B745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padaryta. Planuota reikšmė pasiekta 100 proc.</w:t>
            </w:r>
          </w:p>
        </w:tc>
      </w:tr>
      <w:tr w:rsidR="009D400D" w:rsidRPr="009D400D" w14:paraId="3B7CF9E4" w14:textId="77777777" w:rsidTr="00DB4589">
        <w:tc>
          <w:tcPr>
            <w:tcW w:w="1703" w:type="dxa"/>
            <w:vMerge/>
            <w:shd w:val="clear" w:color="auto" w:fill="auto"/>
          </w:tcPr>
          <w:p w14:paraId="4016FC1D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45" w:type="dxa"/>
            <w:shd w:val="clear" w:color="auto" w:fill="auto"/>
          </w:tcPr>
          <w:p w14:paraId="4CD2A918" w14:textId="5D107F14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Lygių galimybių ir prieinamumo užtikrinimas – 100 %.</w:t>
            </w:r>
          </w:p>
        </w:tc>
        <w:tc>
          <w:tcPr>
            <w:tcW w:w="8950" w:type="dxa"/>
          </w:tcPr>
          <w:p w14:paraId="029D0D73" w14:textId="58CDF206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Savivaldybėje užtikrintos lygios mokymosi pradžios galimybės:</w:t>
            </w:r>
          </w:p>
          <w:p w14:paraId="1692973C" w14:textId="189B8F9F" w:rsidR="00F21C1A" w:rsidRPr="009D400D" w:rsidRDefault="00F21C1A" w:rsidP="007338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100 % patenkinamas 1-</w:t>
            </w:r>
            <w:smartTag w:uri="urn:schemas-microsoft-com:office:smarttags" w:element="metricconverter">
              <w:smartTagPr>
                <w:attr w:name="ProductID" w:val="6 m"/>
              </w:smartTagPr>
              <w:r w:rsidRPr="009D400D">
                <w:rPr>
                  <w:rFonts w:eastAsia="Times New Roman" w:cs="Times New Roman"/>
                  <w:szCs w:val="24"/>
                  <w:lang w:eastAsia="lt-LT"/>
                </w:rPr>
                <w:t>6 m</w:t>
              </w:r>
            </w:smartTag>
            <w:r w:rsidRPr="009D400D">
              <w:rPr>
                <w:rFonts w:eastAsia="Times New Roman" w:cs="Times New Roman"/>
                <w:szCs w:val="24"/>
                <w:lang w:eastAsia="lt-LT"/>
              </w:rPr>
              <w:t>. vaikų, lyginant su bendru to amžiaus vaikų skaičiumi, ugdymosi poreikis ikimokyklinio ugdymo mokyklose. Savivaldybės ikimokyklinio ugdymo įstaigos tenkina visus tėvų prašymus dėl vaikų ugdymo įstaigose, nėra sudaromos eilės.</w:t>
            </w:r>
          </w:p>
          <w:p w14:paraId="10C090EC" w14:textId="618E002F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100 % patenkinamas mokinių, gyvenančių priemiestyje ar kitame rajone ir lankančių Palangos bendrojo ugdymo mokyklas, pavėžėjimo į mokyklas poreikis;</w:t>
            </w:r>
          </w:p>
          <w:p w14:paraId="46846315" w14:textId="5EC51B09" w:rsidR="00F21C1A" w:rsidRPr="009D400D" w:rsidRDefault="00F21C1A" w:rsidP="007338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100 % patenkinamas specialiųjų ugdymosi poreikių mokinių ugdymas bendrojo ugdymo ir ikimokyklinio ugdymo mokyklose (ugdomų integruotai ar specialiosiose klasėse (grupėse). </w:t>
            </w:r>
          </w:p>
          <w:p w14:paraId="1D953B54" w14:textId="77777777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Savivaldybė sudaro tinkamas sąlygas mokinių ugdymuisi, specialiųjų ugdymosi poreikių tenkinimui. </w:t>
            </w:r>
          </w:p>
          <w:p w14:paraId="48ADDF46" w14:textId="5071173C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Savivaldybės bendrojo ugdymo mokyklose visiems pradinių klasių mokiniams sudarytos sąlygos mokykloje nemokamai lankyti pailgintos darbo dienos grupes (4 val. arba 6 val.). Pailgintos darbo dienos grupių veikla vyksta saugioje, mokiniui pritaikytoje aplinkoje.</w:t>
            </w:r>
          </w:p>
        </w:tc>
        <w:tc>
          <w:tcPr>
            <w:tcW w:w="2248" w:type="dxa"/>
            <w:shd w:val="clear" w:color="auto" w:fill="auto"/>
          </w:tcPr>
          <w:p w14:paraId="515B6D4D" w14:textId="60439FFC" w:rsidR="00F21C1A" w:rsidRPr="009D400D" w:rsidRDefault="00034574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padaryta. Planuota reikšmė pasiekta 100 proc.</w:t>
            </w:r>
          </w:p>
        </w:tc>
      </w:tr>
      <w:tr w:rsidR="009D400D" w:rsidRPr="009D400D" w14:paraId="3B3CBE2A" w14:textId="77777777" w:rsidTr="00DB4589">
        <w:tc>
          <w:tcPr>
            <w:tcW w:w="1703" w:type="dxa"/>
            <w:shd w:val="clear" w:color="auto" w:fill="auto"/>
          </w:tcPr>
          <w:p w14:paraId="04E421D9" w14:textId="09AD4AD1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Neformaliojo švietimo prieinamumas</w:t>
            </w:r>
          </w:p>
        </w:tc>
        <w:tc>
          <w:tcPr>
            <w:tcW w:w="2545" w:type="dxa"/>
            <w:shd w:val="clear" w:color="auto" w:fill="auto"/>
          </w:tcPr>
          <w:p w14:paraId="60F87C24" w14:textId="0984044D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Maksimali rodiklio reikšmė – 80 </w:t>
            </w:r>
            <w:r w:rsidR="0073381A" w:rsidRPr="009D400D">
              <w:rPr>
                <w:rFonts w:eastAsia="Times New Roman" w:cs="Times New Roman"/>
                <w:szCs w:val="24"/>
                <w:lang w:eastAsia="lt-LT"/>
              </w:rPr>
              <w:t>proc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034574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26B8C1AB" w14:textId="77777777" w:rsidR="00034574" w:rsidRPr="009D400D" w:rsidRDefault="00034574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  <w:p w14:paraId="3EF33B3A" w14:textId="18EE293B" w:rsidR="00F21C1A" w:rsidRPr="009D400D" w:rsidRDefault="00034574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(Siekiamybė, kad bent 80 proc. bendrojo ugdymo mokyklose besimokančių mokinių lankytų nors 1 neformaliojo ugdymo veiklą).</w:t>
            </w:r>
          </w:p>
        </w:tc>
        <w:tc>
          <w:tcPr>
            <w:tcW w:w="8950" w:type="dxa"/>
          </w:tcPr>
          <w:p w14:paraId="2CF75CE6" w14:textId="6299F82A" w:rsidR="00F21C1A" w:rsidRPr="009D400D" w:rsidRDefault="00F21C1A" w:rsidP="00034574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Savivaldybės indėlis į šią veiklos sritį yra labai didelis. Visos organizuojamos veiklos vaikams yra nemokamos (išskyrus mokymąsi Stasio Vainiūno meno mokykloje ir </w:t>
            </w:r>
            <w:r w:rsidR="00034574" w:rsidRPr="009D400D">
              <w:rPr>
                <w:rFonts w:eastAsia="Times New Roman" w:cs="Times New Roman"/>
                <w:szCs w:val="24"/>
                <w:lang w:eastAsia="lt-LT"/>
              </w:rPr>
              <w:t xml:space="preserve">vaikų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vasaros poilsio programose, kurias vykdo NVŠ teikėjai).</w:t>
            </w:r>
          </w:p>
          <w:p w14:paraId="28B3C065" w14:textId="1AEE8234" w:rsidR="00F21C1A" w:rsidRPr="009D400D" w:rsidRDefault="00F21C1A" w:rsidP="00F21C1A">
            <w:pPr>
              <w:pStyle w:val="Sraopastraipa"/>
              <w:ind w:left="0"/>
              <w:jc w:val="both"/>
              <w:rPr>
                <w:rFonts w:ascii="Palemonas" w:hAnsi="Palemonas"/>
                <w:kern w:val="24"/>
                <w:lang w:val="pl-PL"/>
              </w:rPr>
            </w:pPr>
            <w:r w:rsidRPr="009D400D">
              <w:rPr>
                <w:rFonts w:ascii="Palemonas" w:hAnsi="Palemonas"/>
                <w:kern w:val="24"/>
              </w:rPr>
              <w:t>20</w:t>
            </w:r>
            <w:r w:rsidRPr="009D400D">
              <w:rPr>
                <w:rFonts w:ascii="Palemonas" w:hAnsi="Palemonas"/>
                <w:kern w:val="24"/>
                <w:lang w:val="pt-BR"/>
              </w:rPr>
              <w:t>18 m. bendrojo ugdymo mokyklose mokėsi 1785 mokiniai, iš jų neformaliojo ugdymo programas mokykloje lankė – 4</w:t>
            </w:r>
            <w:r w:rsidRPr="009D400D">
              <w:rPr>
                <w:rFonts w:ascii="Palemonas" w:hAnsi="Palemonas"/>
                <w:kern w:val="24"/>
                <w:lang w:val="pl-PL"/>
              </w:rPr>
              <w:t xml:space="preserve">99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mokiniai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, tai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sudarė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 27,96%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nuo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visų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mokinių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 </w:t>
            </w:r>
            <w:proofErr w:type="spellStart"/>
            <w:r w:rsidRPr="009D400D">
              <w:rPr>
                <w:rFonts w:ascii="Palemonas" w:hAnsi="Palemonas"/>
                <w:kern w:val="24"/>
                <w:lang w:val="pl-PL"/>
              </w:rPr>
              <w:t>skaičiaus</w:t>
            </w:r>
            <w:proofErr w:type="spellEnd"/>
            <w:r w:rsidRPr="009D400D">
              <w:rPr>
                <w:rFonts w:ascii="Palemonas" w:hAnsi="Palemonas"/>
                <w:kern w:val="24"/>
                <w:lang w:val="pl-PL"/>
              </w:rPr>
              <w:t xml:space="preserve">. </w:t>
            </w:r>
          </w:p>
          <w:p w14:paraId="12E89831" w14:textId="3BAB23A1" w:rsidR="00F21C1A" w:rsidRPr="009D400D" w:rsidRDefault="00F21C1A" w:rsidP="00034574">
            <w:pPr>
              <w:pStyle w:val="Sraopastraipa"/>
              <w:ind w:left="0" w:firstLine="1023"/>
              <w:jc w:val="both"/>
              <w:rPr>
                <w:rFonts w:ascii="Palemonas" w:hAnsi="Palemonas" w:cs="Palemonas"/>
                <w:lang w:eastAsia="en-US"/>
              </w:rPr>
            </w:pPr>
            <w:r w:rsidRPr="009D400D">
              <w:rPr>
                <w:rFonts w:ascii="Palemonas" w:hAnsi="Palemonas"/>
                <w:kern w:val="24"/>
                <w:lang w:val="pl-PL"/>
              </w:rPr>
              <w:t>N</w:t>
            </w:r>
            <w:proofErr w:type="spellStart"/>
            <w:r w:rsidRPr="009D400D">
              <w:rPr>
                <w:rFonts w:ascii="Palemonas" w:hAnsi="Palemonas" w:cs="Palemonas"/>
                <w:lang w:eastAsia="en-US"/>
              </w:rPr>
              <w:t>eformaliojo</w:t>
            </w:r>
            <w:proofErr w:type="spellEnd"/>
            <w:r w:rsidRPr="009D400D">
              <w:rPr>
                <w:rFonts w:ascii="Palemonas" w:hAnsi="Palemonas" w:cs="Palemonas"/>
                <w:lang w:eastAsia="en-US"/>
              </w:rPr>
              <w:t xml:space="preserve"> švietimo mokyklose dalyvavo 1083 mokiniai, tai sudarė 60,67 % vis</w:t>
            </w:r>
            <w:r w:rsidR="00034574" w:rsidRPr="009D400D">
              <w:rPr>
                <w:rFonts w:ascii="Palemonas" w:hAnsi="Palemonas" w:cs="Palemonas"/>
                <w:lang w:eastAsia="en-US"/>
              </w:rPr>
              <w:t>ų</w:t>
            </w:r>
            <w:r w:rsidRPr="009D400D">
              <w:rPr>
                <w:rFonts w:ascii="Palemonas" w:hAnsi="Palemonas" w:cs="Palemonas"/>
                <w:lang w:eastAsia="en-US"/>
              </w:rPr>
              <w:t xml:space="preserve"> mokinių skaičiaus. </w:t>
            </w:r>
          </w:p>
          <w:p w14:paraId="00235DCE" w14:textId="0BF85315" w:rsidR="00F21C1A" w:rsidRPr="009D400D" w:rsidRDefault="00F21C1A" w:rsidP="00034574">
            <w:pPr>
              <w:widowControl w:val="0"/>
              <w:tabs>
                <w:tab w:val="left" w:pos="1293"/>
              </w:tabs>
              <w:overflowPunct w:val="0"/>
              <w:ind w:firstLine="1023"/>
              <w:jc w:val="both"/>
              <w:textAlignment w:val="baseline"/>
              <w:rPr>
                <w:rFonts w:cs="Palemonas"/>
              </w:rPr>
            </w:pPr>
            <w:r w:rsidRPr="009D400D">
              <w:rPr>
                <w:rFonts w:cs="Palemonas"/>
              </w:rPr>
              <w:t xml:space="preserve">519 mokinių lankė NVŠ teikėjų vykdomas programas, kurios buvo finansuojamos iš tikslinių ES lėšų, tai sudarė 29,08% nuo viso mokinių skaičiaus. Mokiniai galėjo rinkosi veiklas įvairiose sporto, meno, pilietinio ugdymo ir informatikos  programas, kurias vykdė  13 NVŠ teikėjų. </w:t>
            </w:r>
          </w:p>
          <w:p w14:paraId="67D25EAE" w14:textId="4AD101D2" w:rsidR="00F21C1A" w:rsidRPr="009D400D" w:rsidRDefault="00F8530D" w:rsidP="00034574">
            <w:pPr>
              <w:widowControl w:val="0"/>
              <w:tabs>
                <w:tab w:val="left" w:pos="1293"/>
              </w:tabs>
              <w:overflowPunct w:val="0"/>
              <w:ind w:firstLine="1023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kern w:val="24"/>
              </w:rPr>
              <w:t xml:space="preserve">2018 m. </w:t>
            </w:r>
            <w:r w:rsidR="00F21C1A" w:rsidRPr="009D400D">
              <w:rPr>
                <w:kern w:val="24"/>
              </w:rPr>
              <w:t xml:space="preserve">NVŠ programose dalyvavo arba </w:t>
            </w:r>
            <w:r w:rsidR="00034574" w:rsidRPr="009D400D">
              <w:rPr>
                <w:kern w:val="24"/>
              </w:rPr>
              <w:t>bendrojo ugdymo mokyklose</w:t>
            </w:r>
            <w:r w:rsidR="00F21C1A" w:rsidRPr="009D400D">
              <w:rPr>
                <w:kern w:val="24"/>
              </w:rPr>
              <w:t xml:space="preserve"> būrelius </w:t>
            </w:r>
            <w:r w:rsidR="00034574" w:rsidRPr="009D400D">
              <w:rPr>
                <w:kern w:val="24"/>
              </w:rPr>
              <w:t xml:space="preserve">lankė </w:t>
            </w:r>
            <w:r w:rsidR="00F21C1A" w:rsidRPr="009D400D">
              <w:rPr>
                <w:kern w:val="24"/>
              </w:rPr>
              <w:t>1167 mokiniai, t. y, 65,38 %</w:t>
            </w:r>
            <w:r w:rsidRPr="009D400D">
              <w:rPr>
                <w:kern w:val="24"/>
              </w:rPr>
              <w:t>,</w:t>
            </w:r>
            <w:r w:rsidR="00F21C1A" w:rsidRPr="009D400D">
              <w:rPr>
                <w:kern w:val="24"/>
              </w:rPr>
              <w:t xml:space="preserve"> vis</w:t>
            </w:r>
            <w:r w:rsidRPr="009D400D">
              <w:rPr>
                <w:kern w:val="24"/>
              </w:rPr>
              <w:t>ų</w:t>
            </w:r>
            <w:r w:rsidR="00F21C1A" w:rsidRPr="009D400D">
              <w:rPr>
                <w:kern w:val="24"/>
              </w:rPr>
              <w:t xml:space="preserve"> mokinių skaičiaus.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0C8737EB" w14:textId="6B44ACCA" w:rsidR="00F21C1A" w:rsidRPr="009D400D" w:rsidRDefault="00F21C1A" w:rsidP="00F8530D">
            <w:pPr>
              <w:widowControl w:val="0"/>
              <w:tabs>
                <w:tab w:val="left" w:pos="1293"/>
              </w:tabs>
              <w:overflowPunct w:val="0"/>
              <w:ind w:firstLine="1023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90 % patenkintas mokinių saviraiškos, pilietinio ir tautinio ugdymo, gabių ir talentingų vaikų, prevencinių programų rėmimas, finansuojamas iš Savivaldybės biudžeto.</w:t>
            </w:r>
          </w:p>
          <w:p w14:paraId="3A78FA27" w14:textId="50F634D3" w:rsidR="00F21C1A" w:rsidRPr="009D400D" w:rsidRDefault="00F21C1A" w:rsidP="00F8530D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Vaikų vasaros poilsio stovyklose, kurias vykdė švietimo įstaigos ir neformaliojo švietimo teikėjai, dalyvavo 385 mokiniai (21,56 %</w:t>
            </w:r>
            <w:r w:rsidR="00F8530D" w:rsidRPr="009D400D">
              <w:rPr>
                <w:rFonts w:eastAsia="Times New Roman" w:cs="Times New Roman"/>
                <w:szCs w:val="24"/>
                <w:lang w:eastAsia="lt-LT"/>
              </w:rPr>
              <w:t xml:space="preserve"> viso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bendro mokinių skaičiaus), iš jų 72 vaikai iš mažas pajamas gaunančių šeimų.  </w:t>
            </w:r>
          </w:p>
          <w:p w14:paraId="4E218475" w14:textId="239C3623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>Kūno kultūros ir sporto renginių programų, finansuojamų iš Savivaldybės biudžeto, buvo patenkinta 91 %.</w:t>
            </w:r>
          </w:p>
          <w:p w14:paraId="76E3519F" w14:textId="162F7256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100 % patenkinamas neįgaliųjų (</w:t>
            </w:r>
            <w:r w:rsidRPr="009D400D">
              <w:rPr>
                <w:rFonts w:eastAsia="Times New Roman" w:cs="Arial"/>
                <w:szCs w:val="24"/>
                <w:lang w:eastAsia="lt-LT"/>
              </w:rPr>
              <w:t xml:space="preserve">vaikui su negalia, suaugusiam asmeniui su negalia, senyvo amžiaus asmeniui),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pageidaujančių ugdytis Dienos socialinės globos skyriuje, dalyvavimas.</w:t>
            </w:r>
          </w:p>
          <w:p w14:paraId="09BF27CB" w14:textId="455FAB1F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Palangos švietimo pagalbos </w:t>
            </w:r>
            <w:r w:rsidR="009F4B72" w:rsidRPr="009D400D">
              <w:rPr>
                <w:rFonts w:eastAsia="Times New Roman" w:cs="Times New Roman"/>
                <w:szCs w:val="24"/>
                <w:lang w:eastAsia="lt-LT"/>
              </w:rPr>
              <w:t>suaugusiųjų neformaliojo švietimo (T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arnybos trečiojo amžiaus universiteto</w:t>
            </w:r>
            <w:r w:rsidR="009F4B72" w:rsidRPr="009D400D">
              <w:rPr>
                <w:rFonts w:eastAsia="Times New Roman" w:cs="Times New Roman"/>
                <w:szCs w:val="24"/>
                <w:lang w:eastAsia="lt-LT"/>
              </w:rPr>
              <w:t>)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veiklo</w:t>
            </w:r>
            <w:r w:rsidR="009F4B72" w:rsidRPr="009D400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e dalyvavo 539 senjorai. Trečiojo amžiaus universiteto veiklai organizuoti Savivaldybė sk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yrė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6,0 tūkst. eurų.</w:t>
            </w:r>
          </w:p>
          <w:p w14:paraId="056640EF" w14:textId="35E5FDB1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Savivaldybė iš biudžeto 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skyrė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tikslines lėšas mokinių saviraiškos, pilietinio ugdymo, prevencinių programų vykdymui švietimo įstaigose: 2018 m. 8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,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 xml:space="preserve"> tūkst.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eurų, 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 xml:space="preserve">buvo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finansuotos 35 programos, </w:t>
            </w:r>
          </w:p>
          <w:p w14:paraId="3ED5CE6A" w14:textId="77E561CD" w:rsidR="00F21C1A" w:rsidRPr="009D400D" w:rsidRDefault="00F21C1A" w:rsidP="0073381A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Vaikų vasaros poilsio programų rėmimui Savivaldybė skyrė 7,0 tūkst. eurų, mažas pajamas gaunančių šeimų vaikų kelialapiams į stovyklą 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įsigyti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skyrė 6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,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 xml:space="preserve"> tūkst.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eurų. </w:t>
            </w:r>
          </w:p>
          <w:p w14:paraId="1433FF28" w14:textId="324A2CC0" w:rsidR="00F21C1A" w:rsidRPr="009D400D" w:rsidRDefault="00F21C1A" w:rsidP="0073381A">
            <w:pPr>
              <w:spacing w:line="240" w:lineRule="auto"/>
              <w:ind w:firstLine="1023"/>
              <w:jc w:val="both"/>
              <w:rPr>
                <w:rFonts w:eastAsia="Times New Roman" w:cs="Times New Roman"/>
                <w:szCs w:val="24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Sporto organizacijų rėmimui savivaldybė 201</w:t>
            </w:r>
            <w:r w:rsidR="000160C1" w:rsidRPr="009D400D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m. skyrė 124,5 tūkst. Eurų, iš jų 110,0 tūkst. eurų aukšto sportinio meistriškumo komandoms. </w:t>
            </w:r>
          </w:p>
        </w:tc>
        <w:tc>
          <w:tcPr>
            <w:tcW w:w="2248" w:type="dxa"/>
            <w:shd w:val="clear" w:color="auto" w:fill="auto"/>
          </w:tcPr>
          <w:p w14:paraId="4CD21C06" w14:textId="4C1F109D" w:rsidR="00F21C1A" w:rsidRPr="009D400D" w:rsidRDefault="00F21C1A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lastRenderedPageBreak/>
              <w:t>Pažanga padaryta, planuota reikšmė pasiekta.</w:t>
            </w:r>
          </w:p>
          <w:p w14:paraId="5ECD3CB6" w14:textId="77777777" w:rsidR="00034574" w:rsidRPr="009D400D" w:rsidRDefault="00034574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29D06844" w14:textId="327BA2BE" w:rsidR="00034574" w:rsidRPr="009D400D" w:rsidRDefault="00034574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Neformaliojo švietimo mokyklas lankė 61 proc. ir NVŠ veiklas pasirinkusiųjų buvo 29 proc.</w:t>
            </w:r>
          </w:p>
        </w:tc>
      </w:tr>
      <w:tr w:rsidR="009D400D" w:rsidRPr="009D400D" w14:paraId="1CD74DAD" w14:textId="77777777" w:rsidTr="00DB4589">
        <w:tc>
          <w:tcPr>
            <w:tcW w:w="1703" w:type="dxa"/>
            <w:shd w:val="clear" w:color="auto" w:fill="auto"/>
          </w:tcPr>
          <w:p w14:paraId="308A80B2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Prevencinių veiklų efektyvumas </w:t>
            </w:r>
          </w:p>
        </w:tc>
        <w:tc>
          <w:tcPr>
            <w:tcW w:w="2545" w:type="dxa"/>
            <w:shd w:val="clear" w:color="auto" w:fill="auto"/>
          </w:tcPr>
          <w:p w14:paraId="4C77FC2A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Maksimali rodiklio reikšmė – 0,2 % iš bendro mokinių skaičiaus.</w:t>
            </w:r>
          </w:p>
          <w:p w14:paraId="3211A662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50" w:type="dxa"/>
          </w:tcPr>
          <w:p w14:paraId="5D27BAA6" w14:textId="64FD1335" w:rsidR="00F21C1A" w:rsidRPr="009D400D" w:rsidRDefault="00F21C1A" w:rsidP="000160C1">
            <w:pPr>
              <w:spacing w:line="240" w:lineRule="auto"/>
              <w:ind w:firstLine="1023"/>
              <w:jc w:val="both"/>
              <w:rPr>
                <w:rFonts w:eastAsia="Times New Roman" w:cs="Times New Roman"/>
                <w:szCs w:val="24"/>
              </w:rPr>
            </w:pPr>
            <w:r w:rsidRPr="009D400D">
              <w:rPr>
                <w:rFonts w:eastAsia="Times New Roman" w:cs="Times New Roman"/>
                <w:szCs w:val="24"/>
              </w:rPr>
              <w:t xml:space="preserve">Savivaldybėje sukurta vieninga sistema darbui su elgesio problemų turinčiais vaikais, socialinės pedagoginės, psichologinės ir kitokios pagalbos teikimui. Pagrindinės minimalios priežiūros priemonių skyrimo priežastys: mokyklos nelankymas, netinkamas elgesys, darantis neigiamą įtaką kitiems vaikams ir </w:t>
            </w:r>
            <w:r w:rsidR="00D05C15" w:rsidRPr="009D400D">
              <w:rPr>
                <w:rFonts w:eastAsia="Times New Roman" w:cs="Times New Roman"/>
                <w:szCs w:val="24"/>
              </w:rPr>
              <w:t xml:space="preserve">nepilnamečių </w:t>
            </w:r>
            <w:r w:rsidRPr="009D400D">
              <w:rPr>
                <w:rFonts w:eastAsia="Times New Roman" w:cs="Times New Roman"/>
                <w:szCs w:val="24"/>
              </w:rPr>
              <w:t>alkoholio bei tabako vartojimas.</w:t>
            </w:r>
          </w:p>
          <w:p w14:paraId="0DC870F1" w14:textId="59939527" w:rsidR="00F21C1A" w:rsidRPr="009D400D" w:rsidRDefault="00F21C1A" w:rsidP="000160C1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Minimalios vaiko priežiūros skyrimo atvejų Savivaldybėje ženkliai sumažėjo: 2013 m. buvo 5 atvejai, 2014 m. – 2, 2015 m. – 4, 2016 m. – 3, 2017 m. – 0, 2018 m.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– 0.</w:t>
            </w:r>
          </w:p>
          <w:p w14:paraId="1F467BD0" w14:textId="3DD959FB" w:rsidR="00F21C1A" w:rsidRPr="009D400D" w:rsidRDefault="00F21C1A" w:rsidP="000160C1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Vidutinės vaiko priežiūros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priemonių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skyrimo atvejų Savivaldybėje ženkliai sumažėjo: 2013 m. buvo 6 atvejai, 2014 m. – 1, 2015 m. – 0, 2016 m. – 2, 2017 m.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 - 0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, 2018 m. – 0.</w:t>
            </w:r>
          </w:p>
        </w:tc>
        <w:tc>
          <w:tcPr>
            <w:tcW w:w="2248" w:type="dxa"/>
            <w:shd w:val="clear" w:color="auto" w:fill="auto"/>
          </w:tcPr>
          <w:p w14:paraId="7CA9E586" w14:textId="0D3FD581" w:rsidR="00F21C1A" w:rsidRPr="009D400D" w:rsidRDefault="00F21C1A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padaryta, planuota reikšmė pasiekta.</w:t>
            </w:r>
          </w:p>
        </w:tc>
      </w:tr>
      <w:tr w:rsidR="009D400D" w:rsidRPr="009D400D" w14:paraId="04382536" w14:textId="77777777" w:rsidTr="00DB4589">
        <w:tc>
          <w:tcPr>
            <w:tcW w:w="1703" w:type="dxa"/>
            <w:shd w:val="clear" w:color="auto" w:fill="auto"/>
          </w:tcPr>
          <w:p w14:paraId="0ACBB367" w14:textId="75DE25F9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Saugi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ugdymo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aplinka </w:t>
            </w:r>
          </w:p>
        </w:tc>
        <w:tc>
          <w:tcPr>
            <w:tcW w:w="2545" w:type="dxa"/>
            <w:shd w:val="clear" w:color="auto" w:fill="auto"/>
          </w:tcPr>
          <w:p w14:paraId="43AE29D2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Maksimali rodiklio reikšmė – 80 %.</w:t>
            </w:r>
          </w:p>
          <w:p w14:paraId="0B8727FF" w14:textId="77777777" w:rsidR="00F21C1A" w:rsidRPr="009D400D" w:rsidRDefault="00F21C1A" w:rsidP="00F21C1A">
            <w:pPr>
              <w:spacing w:line="280" w:lineRule="atLeast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50" w:type="dxa"/>
          </w:tcPr>
          <w:p w14:paraId="15AC2D46" w14:textId="281F69D1" w:rsidR="00F21C1A" w:rsidRPr="009D400D" w:rsidRDefault="00D05C15" w:rsidP="00D05C15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Lyginant su 2016 m. ž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>enkliai pagerėjo pastatų būklė, mokyklų aprūpinimas ir mokymosi aplinka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. 2018 m.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 xml:space="preserve"> iš 6 bendrojo ugdymo mokyklų </w:t>
            </w:r>
            <w:r w:rsidR="00F21C1A" w:rsidRPr="009D400D">
              <w:rPr>
                <w:rFonts w:eastAsia="Times New Roman" w:cs="Times New Roman"/>
                <w:bCs/>
                <w:szCs w:val="24"/>
                <w:lang w:eastAsia="lt-LT"/>
              </w:rPr>
              <w:t xml:space="preserve">2 mokyklų teritorijos ir aikštynai sutvarkyti pagal higienos normas. Mokyklos </w:t>
            </w:r>
            <w:r w:rsidRPr="009D400D">
              <w:rPr>
                <w:rFonts w:eastAsia="Times New Roman" w:cs="Times New Roman"/>
                <w:bCs/>
                <w:szCs w:val="24"/>
                <w:lang w:eastAsia="lt-LT"/>
              </w:rPr>
              <w:t xml:space="preserve">iš dalies </w:t>
            </w:r>
            <w:r w:rsidR="00F21C1A" w:rsidRPr="009D400D">
              <w:rPr>
                <w:rFonts w:eastAsia="Times New Roman" w:cs="Times New Roman"/>
                <w:bCs/>
                <w:szCs w:val="24"/>
                <w:lang w:eastAsia="lt-LT"/>
              </w:rPr>
              <w:t xml:space="preserve">aprūpintos naujais baldais, naujais kompiuteriais, 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 xml:space="preserve">saugumui užtikrinti mokyklų teritorijos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įrengtos vaizdo 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>steb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ėjimo</w:t>
            </w:r>
            <w:r w:rsidR="00F21C1A" w:rsidRPr="009D400D">
              <w:rPr>
                <w:rFonts w:eastAsia="Times New Roman" w:cs="Times New Roman"/>
                <w:szCs w:val="24"/>
                <w:lang w:eastAsia="lt-LT"/>
              </w:rPr>
              <w:t xml:space="preserve"> kameros. </w:t>
            </w:r>
          </w:p>
          <w:p w14:paraId="397AD3C8" w14:textId="0E640B2C" w:rsidR="00F21C1A" w:rsidRPr="009D400D" w:rsidRDefault="00F21C1A" w:rsidP="00D05C15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savivaldybėje 4 (iš 6) renovuotos bendrojo ugdymo ir 5 (iš 6)  ikimokyklinio ugdymo mokyklos (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t. y.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pakeisti langai, apšiltinti fasadai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, suremontuoti šilumos punktai ir kt.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). 5 iš 6 bendrojo ugdymo mokyklų turi higienos pasus. Avarinės būklės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švietimo įstaigoms priklausančių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pastatų nėra. </w:t>
            </w:r>
          </w:p>
          <w:p w14:paraId="16A5BF9E" w14:textId="66E308AE" w:rsidR="00F21C1A" w:rsidRPr="009D400D" w:rsidRDefault="00F21C1A" w:rsidP="00696F47">
            <w:pPr>
              <w:ind w:firstLine="1023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Savivaldybė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skyrė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lėšų švietimo įstaigų materialinei bazei atnaujinti ir ugdymo aplinkai turtinti, rūpin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si mokyklų bazės atnaujinimu.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r w:rsidR="00696F47" w:rsidRPr="009D400D">
              <w:rPr>
                <w:rFonts w:cs="Arial"/>
                <w:szCs w:val="24"/>
              </w:rPr>
              <w:t xml:space="preserve">Švietimo įstaigos pagal gautą finansavimą ir galimybes įsigijo kompiuterių (85)  ir kitų IT priemonių. </w:t>
            </w:r>
          </w:p>
          <w:p w14:paraId="059750DE" w14:textId="0D09767B" w:rsidR="00F21C1A" w:rsidRPr="009D400D" w:rsidRDefault="00F21C1A" w:rsidP="00D05C15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ES struktūrini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ų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fondų projektuose dalyv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avo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4 švietimo įstaigos: „Baltijos“ pagrindinė mokykla – „Bendrojo ugdymo mokyklų modernizavimas: šiuolaikinių mokymosi erdvių kūrimas“, Vl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ado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Jurgučio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pagrindinė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mokykla – „Švietimo įstaigų sporto aikštynų atnaujinimo programa“, l.-d. „Pasaka“ – Infrastruktūros modernizavimas“,  Stasio Vainiūno meno mokykla – „Neformaliojo švietimo infrastruktūros tobulinimas“. Savivaldybė 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>skyrė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kiekvienai mokymo įstaigai </w:t>
            </w:r>
            <w:r w:rsidR="002239C2" w:rsidRPr="009D400D">
              <w:rPr>
                <w:rFonts w:eastAsia="Times New Roman" w:cs="Times New Roman"/>
                <w:szCs w:val="24"/>
                <w:lang w:eastAsia="lt-LT"/>
              </w:rPr>
              <w:t>įgyvendinamo projekto vertės</w:t>
            </w:r>
            <w:r w:rsidR="00D05C15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15 proc. </w:t>
            </w:r>
            <w:r w:rsidR="002239C2" w:rsidRPr="009D400D">
              <w:rPr>
                <w:rFonts w:eastAsia="Times New Roman" w:cs="Times New Roman"/>
                <w:szCs w:val="24"/>
                <w:lang w:eastAsia="lt-LT"/>
              </w:rPr>
              <w:t>lėšų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  <w:p w14:paraId="5BEFC844" w14:textId="6E67EEE9" w:rsidR="00F21C1A" w:rsidRPr="009D400D" w:rsidRDefault="00F21C1A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Labai </w:t>
            </w:r>
            <w:r w:rsidR="002239C2" w:rsidRPr="009D400D">
              <w:rPr>
                <w:rFonts w:eastAsia="Times New Roman" w:cs="Times New Roman"/>
                <w:szCs w:val="24"/>
                <w:lang w:eastAsia="lt-LT"/>
              </w:rPr>
              <w:t>bloga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Senosios gimnazijos pastato būklė, būtina atlikti pilną pastato renovaciją (techninis projektas yra parengtas, planuojami darbai vyks 2020 m.). </w:t>
            </w:r>
          </w:p>
        </w:tc>
        <w:tc>
          <w:tcPr>
            <w:tcW w:w="2248" w:type="dxa"/>
            <w:shd w:val="clear" w:color="auto" w:fill="auto"/>
          </w:tcPr>
          <w:p w14:paraId="6F78B156" w14:textId="64EE721B" w:rsidR="00F21C1A" w:rsidRPr="009D400D" w:rsidRDefault="00F21C1A" w:rsidP="00F21C1A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lastRenderedPageBreak/>
              <w:t>Pažanga padaryta, planuota reikšmė pasiekta.</w:t>
            </w:r>
          </w:p>
        </w:tc>
      </w:tr>
    </w:tbl>
    <w:p w14:paraId="38057046" w14:textId="77777777" w:rsidR="006F77B9" w:rsidRPr="009D400D" w:rsidRDefault="006F77B9" w:rsidP="006F77B9">
      <w:pPr>
        <w:spacing w:line="280" w:lineRule="atLeast"/>
        <w:ind w:firstLine="0"/>
        <w:rPr>
          <w:rFonts w:eastAsia="Times New Roman" w:cs="Times New Roman"/>
          <w:b/>
          <w:bCs/>
          <w:szCs w:val="24"/>
          <w:lang w:eastAsia="lt-LT"/>
        </w:rPr>
      </w:pPr>
    </w:p>
    <w:p w14:paraId="16A4A94E" w14:textId="3D4E9D5B" w:rsidR="00377218" w:rsidRPr="009D400D" w:rsidRDefault="006F77B9" w:rsidP="00377218">
      <w:pPr>
        <w:spacing w:line="280" w:lineRule="atLeast"/>
        <w:ind w:firstLine="0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9D400D">
        <w:rPr>
          <w:rFonts w:eastAsia="Times New Roman" w:cs="Times New Roman"/>
          <w:b/>
          <w:bCs/>
          <w:szCs w:val="24"/>
          <w:lang w:eastAsia="lt-LT"/>
        </w:rPr>
        <w:t>MOK</w:t>
      </w:r>
      <w:r w:rsidR="00377218" w:rsidRPr="009D400D">
        <w:rPr>
          <w:rFonts w:eastAsia="Times New Roman" w:cs="Times New Roman"/>
          <w:b/>
          <w:bCs/>
          <w:szCs w:val="24"/>
          <w:lang w:eastAsia="lt-LT"/>
        </w:rPr>
        <w:t>YMASIS</w:t>
      </w:r>
    </w:p>
    <w:p w14:paraId="45FFD89F" w14:textId="77777777" w:rsidR="00377218" w:rsidRPr="009D400D" w:rsidRDefault="00377218" w:rsidP="00377218">
      <w:pPr>
        <w:spacing w:line="280" w:lineRule="atLeast"/>
        <w:ind w:firstLine="0"/>
        <w:rPr>
          <w:rFonts w:eastAsia="Times New Roman" w:cs="Times New Roman"/>
          <w:szCs w:val="24"/>
          <w:lang w:eastAsia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636"/>
        <w:gridCol w:w="8853"/>
        <w:gridCol w:w="2316"/>
      </w:tblGrid>
      <w:tr w:rsidR="009D400D" w:rsidRPr="009D400D" w14:paraId="7FBD3B1F" w14:textId="77777777" w:rsidTr="002239C2">
        <w:tc>
          <w:tcPr>
            <w:tcW w:w="1612" w:type="dxa"/>
            <w:shd w:val="clear" w:color="auto" w:fill="8EAADB" w:themeFill="accent1" w:themeFillTint="99"/>
          </w:tcPr>
          <w:p w14:paraId="032629F3" w14:textId="7E600B7D" w:rsidR="00377218" w:rsidRPr="009D400D" w:rsidRDefault="00377218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Kriterijus</w:t>
            </w:r>
          </w:p>
        </w:tc>
        <w:tc>
          <w:tcPr>
            <w:tcW w:w="2636" w:type="dxa"/>
            <w:shd w:val="clear" w:color="auto" w:fill="8EAADB" w:themeFill="accent1" w:themeFillTint="99"/>
          </w:tcPr>
          <w:p w14:paraId="6A240F1D" w14:textId="70FD96A4" w:rsidR="00377218" w:rsidRPr="009D400D" w:rsidRDefault="00377218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Siekinys </w:t>
            </w:r>
            <w:r w:rsidR="002239C2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iki 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2020 m.</w:t>
            </w:r>
          </w:p>
        </w:tc>
        <w:tc>
          <w:tcPr>
            <w:tcW w:w="8853" w:type="dxa"/>
            <w:shd w:val="clear" w:color="auto" w:fill="8EAADB" w:themeFill="accent1" w:themeFillTint="99"/>
          </w:tcPr>
          <w:p w14:paraId="0464C274" w14:textId="6311700D" w:rsidR="00377218" w:rsidRPr="009D400D" w:rsidRDefault="00377218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Pasiektas rezultatas 201</w:t>
            </w:r>
            <w:r w:rsidR="0079533C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8 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m.</w:t>
            </w:r>
          </w:p>
        </w:tc>
        <w:tc>
          <w:tcPr>
            <w:tcW w:w="2316" w:type="dxa"/>
            <w:shd w:val="clear" w:color="auto" w:fill="8EAADB" w:themeFill="accent1" w:themeFillTint="99"/>
          </w:tcPr>
          <w:p w14:paraId="28848A60" w14:textId="5656873F" w:rsidR="00377218" w:rsidRPr="009D400D" w:rsidRDefault="002A11D7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</w:t>
            </w:r>
          </w:p>
        </w:tc>
      </w:tr>
      <w:tr w:rsidR="009D400D" w:rsidRPr="009D400D" w14:paraId="6797F05B" w14:textId="77777777" w:rsidTr="00DB4589">
        <w:trPr>
          <w:trHeight w:val="1622"/>
        </w:trPr>
        <w:tc>
          <w:tcPr>
            <w:tcW w:w="1612" w:type="dxa"/>
            <w:vMerge w:val="restart"/>
            <w:shd w:val="clear" w:color="auto" w:fill="auto"/>
          </w:tcPr>
          <w:p w14:paraId="4DB83FCD" w14:textId="1D484AED" w:rsidR="006F77B9" w:rsidRPr="009D400D" w:rsidRDefault="006F77B9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Mokymosi kokybės užtikrinimas </w:t>
            </w:r>
          </w:p>
        </w:tc>
        <w:tc>
          <w:tcPr>
            <w:tcW w:w="2636" w:type="dxa"/>
            <w:vMerge w:val="restart"/>
            <w:shd w:val="clear" w:color="auto" w:fill="auto"/>
          </w:tcPr>
          <w:p w14:paraId="30748AD1" w14:textId="2D714E37" w:rsidR="006F77B9" w:rsidRPr="009D400D" w:rsidRDefault="006F77B9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Siekti, kad mokymosi rezultatai būtų aukštesni nei šalies vidurkis.</w:t>
            </w:r>
          </w:p>
        </w:tc>
        <w:tc>
          <w:tcPr>
            <w:tcW w:w="8853" w:type="dxa"/>
            <w:vMerge w:val="restart"/>
            <w:shd w:val="clear" w:color="auto" w:fill="auto"/>
          </w:tcPr>
          <w:p w14:paraId="0BFFD7A5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pagrindinį ir aukštesnįjį lietuvių kalbos pasiekimų lygį pasiekė 73,31 % mokinių, pasiekimų lygis didesnis nei šalyje (plg. 65,98 %), bet mažesnis nei buvo 2017 m. Savivaldybėje (plg. 80,4 %).</w:t>
            </w:r>
          </w:p>
          <w:p w14:paraId="710082CB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Pagrindinio ugdymo pasiekimų (toliau tekste – PUP) lietuvių kalbos </w:t>
            </w:r>
            <w:r w:rsidRPr="009D400D">
              <w:rPr>
                <w:rFonts w:eastAsia="Times New Roman" w:cs="Times New Roman"/>
                <w:i/>
                <w:iCs/>
                <w:szCs w:val="24"/>
                <w:lang w:eastAsia="lt-LT"/>
              </w:rPr>
              <w:t>aukštesnįjį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lygį pasiekė 26,05 % mokinių (šalyje – 12,4 %). Analogiškai 2017 m. – 15,20 % ir 14,40 %.  </w:t>
            </w:r>
          </w:p>
          <w:p w14:paraId="3BA6AC3E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PUP lietuvių kalbos </w:t>
            </w:r>
            <w:r w:rsidRPr="009D400D">
              <w:rPr>
                <w:rFonts w:eastAsia="Times New Roman" w:cs="Times New Roman"/>
                <w:i/>
                <w:iCs/>
                <w:szCs w:val="24"/>
                <w:lang w:eastAsia="lt-LT"/>
              </w:rPr>
              <w:t>pagrindinį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lygį pasiekė 51,27 % (šalyje – 53,58 %) mokinių. Analogiškai 2017 m. – 65,20% ir 55,90 %.</w:t>
            </w:r>
          </w:p>
          <w:p w14:paraId="042AA22A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Patenkinamo lygio nepasiekė 3,36 % mokinių (šalyje – 6,44 %). Analogiškai: 2017 m. – Savivaldybėje – 0,7 % mokinių, šalyje – 3,4 % mokinių. </w:t>
            </w:r>
          </w:p>
          <w:p w14:paraId="729BDE5A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pagrindinį ir aukštesnįjį matematikos pasiekimų lygį pasiekusių mokinių dalis buvo 50,42 % (2017 m. – 52,80 %.) , t. y. didesnis nei šalyje (plg. 35,21 %).</w:t>
            </w:r>
          </w:p>
          <w:p w14:paraId="60AE0C45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PUP matematikos aukštesnįjį lygį pasiekė 11,11 % (šalyje – 6,18 %) mokinių. 2017 m. aukštesnįjį lygį pasiekusių buvo 16,6 % (šalyje – 20,20 %) mokinių.</w:t>
            </w:r>
          </w:p>
          <w:p w14:paraId="10198A5C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PUP matematikos pagrindinį lygį pasiekė 39,32 % (šalyje – 28,99 %) mokinių. 2017 m. – pagrindinį lygį pasiekusių buvo 36,20 % (šalyje – 31,20 %) mokinių. </w:t>
            </w:r>
          </w:p>
          <w:p w14:paraId="3EDDB65A" w14:textId="77777777" w:rsidR="006F77B9" w:rsidRPr="009D400D" w:rsidRDefault="006F77B9" w:rsidP="002239C2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Patenkinamo lygio nepasiekė 11,11 % (2017 m. – 5,0 %) mokinių (šalyje – 28,66 %).</w:t>
            </w:r>
          </w:p>
          <w:p w14:paraId="01FE4A9F" w14:textId="5AA966BF" w:rsidR="006F77B9" w:rsidRPr="009D400D" w:rsidRDefault="006F77B9" w:rsidP="002239C2">
            <w:pPr>
              <w:tabs>
                <w:tab w:val="left" w:pos="0"/>
                <w:tab w:val="left" w:pos="1680"/>
              </w:tabs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Batang"/>
              </w:rPr>
              <w:lastRenderedPageBreak/>
              <w:t xml:space="preserve">100 % mokinių, įgijusių pradinį išsilavinimą ir įgijusiųjų pagrindinį išsilavinimą, tais pačiais metais tęsė mokslą. </w:t>
            </w:r>
            <w:r w:rsidRPr="009D400D">
              <w:t xml:space="preserve">88,6 % mokinių, įgijusių pagrindinį išsilavinimą, toliau tęsė mokymąsi Senojoje gimnazijoje (vienintelė mokykla, kuri vykdo vidurinio ugdymo programą Savivaldybėje), o 11,4 % mokinių pasirinko kitą mokymosi įstaigą (išvyko mokytis į kitą savivaldybę arba įstojo į profesinio mokymo mokyklas). </w:t>
            </w:r>
          </w:p>
        </w:tc>
        <w:tc>
          <w:tcPr>
            <w:tcW w:w="2316" w:type="dxa"/>
            <w:shd w:val="clear" w:color="auto" w:fill="auto"/>
          </w:tcPr>
          <w:p w14:paraId="32C16FC1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2D3E8CAB" w14:textId="77777777" w:rsidR="006F77B9" w:rsidRPr="009D400D" w:rsidRDefault="006F77B9" w:rsidP="006F77B9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padaryta.</w:t>
            </w:r>
          </w:p>
          <w:p w14:paraId="53A74F84" w14:textId="77777777" w:rsidR="006F77B9" w:rsidRPr="009D400D" w:rsidRDefault="006F77B9" w:rsidP="006F77B9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Palyginus su šalies rezultatais – pažanga padaryta. Judama į tobulesnį būvį, bet labai lėtai, reikia daugiau dėmesio skirti mokymosi motyvacijos stokojantiems mokiniams.</w:t>
            </w:r>
          </w:p>
          <w:p w14:paraId="2255E985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0886FE5C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4085DA0B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3968F87D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40D9DA4B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6B3619D0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4905D046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39D2B148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76CA7BAB" w14:textId="77777777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  <w:p w14:paraId="13816F4F" w14:textId="50F746EE" w:rsidR="006F77B9" w:rsidRPr="009D400D" w:rsidRDefault="006F77B9" w:rsidP="00094075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9D400D" w:rsidRPr="009D400D" w14:paraId="342432B4" w14:textId="77777777" w:rsidTr="00DB4589">
        <w:trPr>
          <w:trHeight w:val="1622"/>
        </w:trPr>
        <w:tc>
          <w:tcPr>
            <w:tcW w:w="1612" w:type="dxa"/>
            <w:vMerge/>
            <w:shd w:val="clear" w:color="auto" w:fill="auto"/>
          </w:tcPr>
          <w:p w14:paraId="19920196" w14:textId="4768DF38" w:rsidR="006F77B9" w:rsidRPr="009D400D" w:rsidRDefault="006F77B9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14:paraId="7ED96F94" w14:textId="014E21BF" w:rsidR="006F77B9" w:rsidRPr="009D400D" w:rsidRDefault="006F77B9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53" w:type="dxa"/>
            <w:vMerge/>
            <w:shd w:val="clear" w:color="auto" w:fill="auto"/>
          </w:tcPr>
          <w:p w14:paraId="1DA09AE2" w14:textId="1165DDEF" w:rsidR="006F77B9" w:rsidRPr="009D400D" w:rsidRDefault="006F77B9" w:rsidP="002239C2">
            <w:pPr>
              <w:tabs>
                <w:tab w:val="left" w:pos="0"/>
                <w:tab w:val="left" w:pos="1680"/>
              </w:tabs>
              <w:ind w:firstLine="1023"/>
              <w:jc w:val="both"/>
            </w:pPr>
          </w:p>
        </w:tc>
        <w:tc>
          <w:tcPr>
            <w:tcW w:w="2316" w:type="dxa"/>
            <w:shd w:val="clear" w:color="auto" w:fill="auto"/>
          </w:tcPr>
          <w:p w14:paraId="1F19998B" w14:textId="4478F1C3" w:rsidR="006F77B9" w:rsidRPr="009D400D" w:rsidRDefault="006F77B9" w:rsidP="006F77B9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9D400D" w:rsidRPr="009D400D" w14:paraId="40D96060" w14:textId="77777777" w:rsidTr="00863184">
        <w:trPr>
          <w:trHeight w:val="3640"/>
        </w:trPr>
        <w:tc>
          <w:tcPr>
            <w:tcW w:w="1612" w:type="dxa"/>
            <w:vMerge/>
            <w:shd w:val="clear" w:color="auto" w:fill="auto"/>
          </w:tcPr>
          <w:p w14:paraId="20C66B18" w14:textId="77777777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14:paraId="77074A70" w14:textId="77777777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53" w:type="dxa"/>
            <w:shd w:val="clear" w:color="auto" w:fill="auto"/>
          </w:tcPr>
          <w:p w14:paraId="064F8787" w14:textId="2A699131" w:rsidR="00762F23" w:rsidRPr="009D400D" w:rsidRDefault="00762F23" w:rsidP="00762F23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valstybinių brandos egzaminų (toliau – VBE) neišlaikė 6,27 % mokinių (daugiausiai iš jų matematikos ir lietuvių k. ). Plg. 2017 m. neišlaikė 2,55 % mokinių.</w:t>
            </w:r>
          </w:p>
          <w:p w14:paraId="79E363B0" w14:textId="608DB0CC" w:rsidR="00762F23" w:rsidRPr="009D400D" w:rsidRDefault="00762F23" w:rsidP="00762F23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Apibendrintas VBE rodiklis 2018 m. buvo 254,1 t. y. aukštesnis nei 2017 m. (216,2) ir aukštesnis nei šalies rodiklis. </w:t>
            </w:r>
          </w:p>
          <w:p w14:paraId="18950F98" w14:textId="69340A53" w:rsidR="00762F23" w:rsidRPr="009D400D" w:rsidRDefault="00762F23" w:rsidP="00762F23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Valstybinių brandos egzaminų rodikliai yra pakankami geri: apibendrintas savivaldybių VBE rodiklis rodo, kad Palangos savivaldybė yra tarp lyderių. Mokinių pasiekimų rodikliai ženkliai viršija šalies vidurkį. </w:t>
            </w:r>
          </w:p>
          <w:p w14:paraId="3052C957" w14:textId="606F0085" w:rsidR="00762F23" w:rsidRPr="009D400D" w:rsidRDefault="00762F23" w:rsidP="00762F23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Batang"/>
              </w:rPr>
              <w:t xml:space="preserve">Vidurinį išsilavinimą įgijo 100 % mokinių nuo viso abiturientų skaičiaus. </w:t>
            </w:r>
            <w:r w:rsidRPr="009D400D">
              <w:rPr>
                <w:rFonts w:cs="Palemonas"/>
              </w:rPr>
              <w:t>Vidurinį išsilavinimą įgiję 63,94 % abiturientų toliau mokosi universitetuose (36,84 %), kolegijose (22,13 %) ir profesinio mokymo įstaigose (4,92 %).</w:t>
            </w:r>
          </w:p>
          <w:p w14:paraId="6A59DD9C" w14:textId="78262FA2" w:rsidR="00762F23" w:rsidRPr="009D400D" w:rsidRDefault="00762F23" w:rsidP="00762F23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Plg. 2017 m. 98,11 % abiturientų įgijo vidurinį išsilavinimą ir gavo brandos atestatus, iš jų 78,5 % abiturientų tais pačiais metais tęsė mokslą kitose švietimo mokyklose.</w:t>
            </w:r>
          </w:p>
        </w:tc>
        <w:tc>
          <w:tcPr>
            <w:tcW w:w="2316" w:type="dxa"/>
            <w:shd w:val="clear" w:color="auto" w:fill="auto"/>
          </w:tcPr>
          <w:p w14:paraId="1917CB27" w14:textId="2D255FB5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Pažanga padaryta iš dalies. </w:t>
            </w:r>
          </w:p>
        </w:tc>
      </w:tr>
      <w:tr w:rsidR="009D400D" w:rsidRPr="009D400D" w14:paraId="088F36BA" w14:textId="77777777" w:rsidTr="00DB4589">
        <w:tc>
          <w:tcPr>
            <w:tcW w:w="1612" w:type="dxa"/>
            <w:vMerge/>
            <w:shd w:val="clear" w:color="auto" w:fill="auto"/>
          </w:tcPr>
          <w:p w14:paraId="47052A14" w14:textId="77777777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36" w:type="dxa"/>
            <w:shd w:val="clear" w:color="auto" w:fill="auto"/>
          </w:tcPr>
          <w:p w14:paraId="2C2C2B37" w14:textId="24F0C802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Pagerinti mokinių pamokų lankomumą 40 %.</w:t>
            </w:r>
          </w:p>
        </w:tc>
        <w:tc>
          <w:tcPr>
            <w:tcW w:w="8853" w:type="dxa"/>
            <w:shd w:val="clear" w:color="auto" w:fill="auto"/>
          </w:tcPr>
          <w:p w14:paraId="2C33BEE8" w14:textId="3F644612" w:rsidR="00762F23" w:rsidRPr="009D400D" w:rsidRDefault="00762F23" w:rsidP="0068538B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cs="Palemonas"/>
              </w:rPr>
              <w:t>Bendrojo ugdymo mokyklų mokinių pamokų lankomumas buvo viena iš opiausių problemų, dėl kurios mokyklos susitelkė, ėmėsi joms prieinamų priemonių ir  2018 m. m. pagerino mokinių pamokų lankomumą. Pokytis akivaizdus.</w:t>
            </w:r>
          </w:p>
          <w:p w14:paraId="582F9343" w14:textId="77777777" w:rsidR="00762F23" w:rsidRPr="009D400D" w:rsidRDefault="00762F23" w:rsidP="002239C2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noProof/>
                <w:lang w:eastAsia="lt-LT"/>
              </w:rPr>
              <w:lastRenderedPageBreak/>
              <w:drawing>
                <wp:inline distT="0" distB="0" distL="0" distR="0" wp14:anchorId="1ACE2A96" wp14:editId="72447AFB">
                  <wp:extent cx="4556097" cy="1932167"/>
                  <wp:effectExtent l="0" t="0" r="16510" b="11430"/>
                  <wp:docPr id="1" name="Diagra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34314808" w14:textId="3638F670" w:rsidR="00762F23" w:rsidRPr="009D400D" w:rsidRDefault="00762F23" w:rsidP="002239C2">
            <w:pPr>
              <w:widowControl w:val="0"/>
              <w:tabs>
                <w:tab w:val="left" w:pos="1293"/>
              </w:tabs>
              <w:overflowPunct w:val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2017-2018 m. m. praleistų pamokų skaičius vienam mokiniui </w:t>
            </w:r>
            <w:r w:rsidR="0068538B" w:rsidRPr="009D400D">
              <w:rPr>
                <w:rFonts w:eastAsia="Times New Roman" w:cs="Times New Roman"/>
                <w:szCs w:val="24"/>
                <w:lang w:eastAsia="lt-LT"/>
              </w:rPr>
              <w:t>iš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viso mokinių skaičiaus buvo 73,6, 2018-2019 m. m. -</w:t>
            </w:r>
            <w:r w:rsidR="0068538B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66,5. </w:t>
            </w:r>
          </w:p>
          <w:p w14:paraId="3582B0AD" w14:textId="6B1EFAA3" w:rsidR="00762F23" w:rsidRPr="009D400D" w:rsidRDefault="00762F23" w:rsidP="0068538B">
            <w:pPr>
              <w:widowControl w:val="0"/>
              <w:tabs>
                <w:tab w:val="left" w:pos="1293"/>
              </w:tabs>
              <w:overflowPunct w:val="0"/>
              <w:ind w:firstLine="1023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Ugdymui skirtas laikas nėra pilnai išnaudojamas, o tai įtakoja mokinių  ugdymo pasiekimus. </w:t>
            </w:r>
          </w:p>
        </w:tc>
        <w:tc>
          <w:tcPr>
            <w:tcW w:w="2316" w:type="dxa"/>
            <w:shd w:val="clear" w:color="auto" w:fill="auto"/>
          </w:tcPr>
          <w:p w14:paraId="71C0B290" w14:textId="1A1729A7" w:rsidR="00762F23" w:rsidRPr="009D400D" w:rsidRDefault="00762F23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lastRenderedPageBreak/>
              <w:t>Pažanga padaryta</w:t>
            </w:r>
            <w:r w:rsidR="0068538B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. L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ankomumo rodiklis įgyvendintas, praleistų pamokų skaičius, tenkantis vienam mokiniui, ženkliai sumažėjo</w:t>
            </w:r>
            <w:r w:rsidR="0068538B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: nuo 11,8 iki 7,6.</w:t>
            </w:r>
          </w:p>
        </w:tc>
      </w:tr>
      <w:tr w:rsidR="00377218" w:rsidRPr="009D400D" w14:paraId="421AC7F0" w14:textId="77777777" w:rsidTr="00DB4589">
        <w:tc>
          <w:tcPr>
            <w:tcW w:w="1612" w:type="dxa"/>
            <w:shd w:val="clear" w:color="auto" w:fill="auto"/>
          </w:tcPr>
          <w:p w14:paraId="0A452574" w14:textId="77777777" w:rsidR="00377218" w:rsidRPr="009D400D" w:rsidRDefault="00377218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Mokinių saviraiškos pasiekimai </w:t>
            </w:r>
          </w:p>
        </w:tc>
        <w:tc>
          <w:tcPr>
            <w:tcW w:w="2636" w:type="dxa"/>
            <w:shd w:val="clear" w:color="auto" w:fill="auto"/>
          </w:tcPr>
          <w:p w14:paraId="19BA8B57" w14:textId="77777777" w:rsidR="00377218" w:rsidRPr="009D400D" w:rsidRDefault="00377218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Maksimali rodiklio reikšmė – 10 %.</w:t>
            </w:r>
          </w:p>
          <w:p w14:paraId="248044ED" w14:textId="77777777" w:rsidR="00377218" w:rsidRPr="009D400D" w:rsidRDefault="00377218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853" w:type="dxa"/>
            <w:shd w:val="clear" w:color="auto" w:fill="auto"/>
          </w:tcPr>
          <w:p w14:paraId="34A4DCD6" w14:textId="77777777" w:rsidR="00C20359" w:rsidRPr="009D400D" w:rsidRDefault="009000AC" w:rsidP="00C20359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Savivaldybės bendrojo ugdymo mokyklų mokinių dalyvavimas neformaliojo švietimo veikloje yra ženklus.</w:t>
            </w:r>
          </w:p>
          <w:p w14:paraId="0B0CA4D3" w14:textId="77777777" w:rsidR="00C20359" w:rsidRPr="009D400D" w:rsidRDefault="005316E8" w:rsidP="00C20359">
            <w:pPr>
              <w:spacing w:line="280" w:lineRule="atLeast"/>
              <w:ind w:firstLine="1023"/>
              <w:jc w:val="both"/>
              <w:rPr>
                <w:kern w:val="24"/>
                <w:lang w:val="pl-PL"/>
              </w:rPr>
            </w:pPr>
            <w:r w:rsidRPr="009D400D">
              <w:rPr>
                <w:kern w:val="24"/>
                <w:lang w:val="pt-BR"/>
              </w:rPr>
              <w:t>2018-2019 m. m. bendrojo ugdymo mokyklose mokėsi 1785 mokiniai, iš jų  neformaliojo ugdymo programas mokykloje lankė – 4</w:t>
            </w:r>
            <w:r w:rsidRPr="009D400D">
              <w:rPr>
                <w:kern w:val="24"/>
                <w:lang w:val="pl-PL"/>
              </w:rPr>
              <w:t xml:space="preserve">99, tai </w:t>
            </w:r>
            <w:proofErr w:type="spellStart"/>
            <w:r w:rsidRPr="009D400D">
              <w:rPr>
                <w:kern w:val="24"/>
                <w:lang w:val="pl-PL"/>
              </w:rPr>
              <w:t>sudarė</w:t>
            </w:r>
            <w:proofErr w:type="spellEnd"/>
            <w:r w:rsidRPr="009D400D">
              <w:rPr>
                <w:kern w:val="24"/>
                <w:lang w:val="pl-PL"/>
              </w:rPr>
              <w:t xml:space="preserve"> 27,96% </w:t>
            </w:r>
            <w:proofErr w:type="spellStart"/>
            <w:r w:rsidRPr="009D400D">
              <w:rPr>
                <w:kern w:val="24"/>
                <w:lang w:val="pl-PL"/>
              </w:rPr>
              <w:t>visų</w:t>
            </w:r>
            <w:proofErr w:type="spellEnd"/>
            <w:r w:rsidRPr="009D400D">
              <w:rPr>
                <w:kern w:val="24"/>
                <w:lang w:val="pl-PL"/>
              </w:rPr>
              <w:t xml:space="preserve"> </w:t>
            </w:r>
            <w:proofErr w:type="spellStart"/>
            <w:r w:rsidRPr="009D400D">
              <w:rPr>
                <w:kern w:val="24"/>
                <w:lang w:val="pl-PL"/>
              </w:rPr>
              <w:t>mokinių</w:t>
            </w:r>
            <w:proofErr w:type="spellEnd"/>
            <w:r w:rsidRPr="009D400D">
              <w:rPr>
                <w:kern w:val="24"/>
                <w:lang w:val="pl-PL"/>
              </w:rPr>
              <w:t xml:space="preserve"> </w:t>
            </w:r>
            <w:proofErr w:type="spellStart"/>
            <w:r w:rsidRPr="009D400D">
              <w:rPr>
                <w:kern w:val="24"/>
                <w:lang w:val="pl-PL"/>
              </w:rPr>
              <w:t>skaičiaus</w:t>
            </w:r>
            <w:proofErr w:type="spellEnd"/>
            <w:r w:rsidRPr="009D400D">
              <w:rPr>
                <w:kern w:val="24"/>
                <w:lang w:val="pl-PL"/>
              </w:rPr>
              <w:t xml:space="preserve">. </w:t>
            </w:r>
          </w:p>
          <w:p w14:paraId="142193AA" w14:textId="77777777" w:rsidR="00C20359" w:rsidRPr="009D400D" w:rsidRDefault="00C20359" w:rsidP="00C20359">
            <w:pPr>
              <w:spacing w:line="280" w:lineRule="atLeast"/>
              <w:ind w:firstLine="1023"/>
              <w:jc w:val="both"/>
              <w:rPr>
                <w:kern w:val="24"/>
              </w:rPr>
            </w:pPr>
            <w:r w:rsidRPr="009D400D">
              <w:rPr>
                <w:kern w:val="24"/>
              </w:rPr>
              <w:t xml:space="preserve">2018-2019 m. m. </w:t>
            </w:r>
            <w:r w:rsidR="005316E8" w:rsidRPr="009D400D">
              <w:rPr>
                <w:kern w:val="24"/>
              </w:rPr>
              <w:t xml:space="preserve">NVŠ programose </w:t>
            </w:r>
            <w:r w:rsidRPr="009D400D">
              <w:rPr>
                <w:kern w:val="24"/>
              </w:rPr>
              <w:t xml:space="preserve">dalyvavo </w:t>
            </w:r>
            <w:r w:rsidR="005316E8" w:rsidRPr="009D400D">
              <w:rPr>
                <w:kern w:val="24"/>
              </w:rPr>
              <w:t xml:space="preserve">arba </w:t>
            </w:r>
            <w:r w:rsidRPr="009D400D">
              <w:rPr>
                <w:kern w:val="24"/>
              </w:rPr>
              <w:t xml:space="preserve">bendrojo ugdymo mokyklose būrelius </w:t>
            </w:r>
            <w:r w:rsidR="005316E8" w:rsidRPr="009D400D">
              <w:rPr>
                <w:kern w:val="24"/>
              </w:rPr>
              <w:t>lankė (iš viso) 1167 mokiniai, t. y, 65,38%.</w:t>
            </w:r>
          </w:p>
          <w:p w14:paraId="7E138D90" w14:textId="1C56AB95" w:rsidR="00C20359" w:rsidRPr="009D400D" w:rsidRDefault="005316E8" w:rsidP="00C20359">
            <w:pPr>
              <w:spacing w:line="280" w:lineRule="atLeast"/>
              <w:ind w:firstLine="102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 xml:space="preserve">2018-2019 m. m. mokinių, </w:t>
            </w:r>
            <w:r w:rsidR="00C20359" w:rsidRPr="009D400D">
              <w:rPr>
                <w:rFonts w:cs="Palemonas"/>
              </w:rPr>
              <w:t xml:space="preserve">kurių </w:t>
            </w:r>
            <w:r w:rsidRPr="009D400D">
              <w:rPr>
                <w:rFonts w:cs="Palemonas"/>
              </w:rPr>
              <w:t>ugd</w:t>
            </w:r>
            <w:r w:rsidR="00C20359" w:rsidRPr="009D400D">
              <w:rPr>
                <w:rFonts w:cs="Palemonas"/>
              </w:rPr>
              <w:t>ymui skiriamos</w:t>
            </w:r>
            <w:r w:rsidRPr="009D400D">
              <w:rPr>
                <w:rFonts w:cs="Palemonas"/>
              </w:rPr>
              <w:t xml:space="preserve"> tikslinėmis valstybės lėšo</w:t>
            </w:r>
            <w:r w:rsidR="00C20359" w:rsidRPr="009D400D">
              <w:rPr>
                <w:rFonts w:cs="Palemonas"/>
              </w:rPr>
              <w:t>s</w:t>
            </w:r>
            <w:r w:rsidRPr="009D400D">
              <w:rPr>
                <w:rFonts w:cs="Palemonas"/>
              </w:rPr>
              <w:t xml:space="preserve"> </w:t>
            </w:r>
            <w:r w:rsidR="00C20359" w:rsidRPr="009D400D">
              <w:rPr>
                <w:rFonts w:cs="Palemonas"/>
              </w:rPr>
              <w:t xml:space="preserve">NVŠ </w:t>
            </w:r>
            <w:r w:rsidRPr="009D400D">
              <w:rPr>
                <w:rFonts w:cs="Palemonas"/>
              </w:rPr>
              <w:t>finans</w:t>
            </w:r>
            <w:r w:rsidR="00C20359" w:rsidRPr="009D400D">
              <w:rPr>
                <w:rFonts w:cs="Palemonas"/>
              </w:rPr>
              <w:t>avimui ir</w:t>
            </w:r>
            <w:r w:rsidRPr="009D400D">
              <w:rPr>
                <w:rFonts w:cs="Palemonas"/>
              </w:rPr>
              <w:t xml:space="preserve"> kurių paslaugų teikėjai nėra biudžetinių įstaigų darbuotojai, </w:t>
            </w:r>
            <w:r w:rsidR="00C20359" w:rsidRPr="009D400D">
              <w:rPr>
                <w:rFonts w:cs="Palemonas"/>
              </w:rPr>
              <w:t xml:space="preserve">lankančių </w:t>
            </w:r>
            <w:r w:rsidR="003C1AF4" w:rsidRPr="009D400D">
              <w:rPr>
                <w:rFonts w:cs="Palemonas"/>
              </w:rPr>
              <w:t>p</w:t>
            </w:r>
            <w:r w:rsidRPr="009D400D">
              <w:rPr>
                <w:rFonts w:cs="Palemonas"/>
              </w:rPr>
              <w:t>rogramas buvo 519, tai sudarė 29,08% vis</w:t>
            </w:r>
            <w:r w:rsidR="00C20359" w:rsidRPr="009D400D">
              <w:rPr>
                <w:rFonts w:cs="Palemonas"/>
              </w:rPr>
              <w:t>ų</w:t>
            </w:r>
            <w:r w:rsidRPr="009D400D">
              <w:rPr>
                <w:rFonts w:cs="Palemonas"/>
              </w:rPr>
              <w:t xml:space="preserve"> mokinių skaičiaus. </w:t>
            </w:r>
          </w:p>
          <w:p w14:paraId="64C28961" w14:textId="7A323AEE" w:rsidR="00C20359" w:rsidRPr="009D400D" w:rsidRDefault="005316E8" w:rsidP="00C20359">
            <w:pPr>
              <w:spacing w:line="280" w:lineRule="atLeast"/>
              <w:ind w:firstLine="102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>2018-2019 m. m. neformaliojo švietimo mokykl</w:t>
            </w:r>
            <w:r w:rsidR="00C20359" w:rsidRPr="009D400D">
              <w:rPr>
                <w:rFonts w:cs="Palemonas"/>
              </w:rPr>
              <w:t>ų veiklose</w:t>
            </w:r>
            <w:r w:rsidRPr="009D400D">
              <w:rPr>
                <w:rFonts w:cs="Palemonas"/>
              </w:rPr>
              <w:t xml:space="preserve"> dalyvavo 1083 mokiniai, tai sudarė </w:t>
            </w:r>
            <w:r w:rsidR="00C20359" w:rsidRPr="009D400D">
              <w:rPr>
                <w:rFonts w:cs="Palemonas"/>
              </w:rPr>
              <w:t>61</w:t>
            </w:r>
            <w:r w:rsidRPr="009D400D">
              <w:rPr>
                <w:rFonts w:cs="Palemonas"/>
              </w:rPr>
              <w:t xml:space="preserve"> % vis</w:t>
            </w:r>
            <w:r w:rsidR="00C20359" w:rsidRPr="009D400D">
              <w:rPr>
                <w:rFonts w:cs="Palemonas"/>
              </w:rPr>
              <w:t>ų</w:t>
            </w:r>
            <w:r w:rsidRPr="009D400D">
              <w:rPr>
                <w:rFonts w:cs="Palemonas"/>
              </w:rPr>
              <w:t xml:space="preserve"> mokinių skaičiaus. </w:t>
            </w:r>
          </w:p>
          <w:p w14:paraId="67E0F40A" w14:textId="02AF7503" w:rsidR="00C20359" w:rsidRPr="009D400D" w:rsidRDefault="00CD77C1" w:rsidP="00F94F8C">
            <w:pPr>
              <w:spacing w:line="280" w:lineRule="atLeast"/>
              <w:ind w:firstLine="102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Švietimo ir mokslo ministerijos organizuojamose olimpiadose</w:t>
            </w:r>
            <w:r w:rsidR="00C20359" w:rsidRPr="009D400D">
              <w:rPr>
                <w:rFonts w:eastAsia="Times New Roman" w:cs="Times New Roman"/>
                <w:szCs w:val="24"/>
                <w:lang w:eastAsia="lt-LT"/>
              </w:rPr>
              <w:t xml:space="preserve"> 2018 m.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20359" w:rsidRPr="009D400D">
              <w:rPr>
                <w:rFonts w:eastAsia="Times New Roman" w:cs="Times New Roman"/>
                <w:szCs w:val="24"/>
                <w:lang w:eastAsia="lt-LT"/>
              </w:rPr>
              <w:t xml:space="preserve">dalyvavo ir užėmė prizines vietas įvairiuose šalies konkursuose ir olimpiadose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1,3 % mokinių (iš bendro 7-12 klasių mokinių skaičiaus)</w:t>
            </w:r>
            <w:r w:rsidR="00D339B2" w:rsidRPr="009D400D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377218" w:rsidRPr="009D40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20359" w:rsidRPr="009D400D">
              <w:rPr>
                <w:rFonts w:eastAsia="Times New Roman" w:cs="Times New Roman"/>
                <w:szCs w:val="24"/>
                <w:lang w:eastAsia="lt-LT"/>
              </w:rPr>
              <w:t xml:space="preserve">Plg. </w:t>
            </w:r>
            <w:r w:rsidR="001C159E" w:rsidRPr="009D400D"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="00D339B2" w:rsidRPr="009D400D">
              <w:rPr>
                <w:rFonts w:eastAsia="Times New Roman" w:cs="Times New Roman"/>
                <w:szCs w:val="24"/>
                <w:lang w:eastAsia="lt-LT"/>
              </w:rPr>
              <w:t>17</w:t>
            </w:r>
            <w:r w:rsidR="003C1AF4" w:rsidRPr="009D400D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D339B2" w:rsidRPr="009D400D">
              <w:rPr>
                <w:rFonts w:eastAsia="Times New Roman" w:cs="Times New Roman"/>
                <w:szCs w:val="24"/>
                <w:lang w:eastAsia="lt-LT"/>
              </w:rPr>
              <w:t>2018</w:t>
            </w:r>
            <w:r w:rsidR="00377218" w:rsidRPr="009D400D">
              <w:rPr>
                <w:rFonts w:eastAsia="Times New Roman" w:cs="Times New Roman"/>
                <w:szCs w:val="24"/>
                <w:lang w:eastAsia="lt-LT"/>
              </w:rPr>
              <w:t xml:space="preserve"> m. m</w:t>
            </w:r>
            <w:r w:rsidR="00D339B2" w:rsidRPr="009D400D">
              <w:rPr>
                <w:rFonts w:eastAsia="Times New Roman" w:cs="Times New Roman"/>
                <w:szCs w:val="24"/>
                <w:lang w:eastAsia="lt-LT"/>
              </w:rPr>
              <w:t xml:space="preserve"> %</w:t>
            </w:r>
            <w:r w:rsidR="00377218" w:rsidRPr="009D400D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  <w:r w:rsidR="00D339B2" w:rsidRPr="009D400D">
              <w:rPr>
                <w:rFonts w:eastAsia="Times New Roman" w:cs="Times New Roman"/>
                <w:szCs w:val="24"/>
                <w:lang w:eastAsia="lt-LT"/>
              </w:rPr>
              <w:t>1,1</w:t>
            </w:r>
            <w:r w:rsidR="003C1AF4" w:rsidRPr="009D400D">
              <w:rPr>
                <w:rFonts w:eastAsia="Times New Roman" w:cs="Times New Roman"/>
                <w:szCs w:val="24"/>
                <w:lang w:eastAsia="lt-LT"/>
              </w:rPr>
              <w:t xml:space="preserve"> % </w:t>
            </w:r>
            <w:r w:rsidR="00377218" w:rsidRPr="009D400D">
              <w:rPr>
                <w:rFonts w:eastAsia="Times New Roman" w:cs="Times New Roman"/>
                <w:szCs w:val="24"/>
                <w:lang w:eastAsia="lt-LT"/>
              </w:rPr>
              <w:t xml:space="preserve">mokinių užėmė prizines vietas Švietimo ir mokslo ministerijos organizuojamose olimpiadose. </w:t>
            </w:r>
          </w:p>
        </w:tc>
        <w:tc>
          <w:tcPr>
            <w:tcW w:w="2316" w:type="dxa"/>
            <w:shd w:val="clear" w:color="auto" w:fill="auto"/>
          </w:tcPr>
          <w:p w14:paraId="2DADABFB" w14:textId="629113E4" w:rsidR="009000AC" w:rsidRPr="009D400D" w:rsidRDefault="002A11D7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padaryta, planuota reikšmė pasiekta.</w:t>
            </w:r>
          </w:p>
          <w:p w14:paraId="3BFF0976" w14:textId="2D077722" w:rsidR="00D339B2" w:rsidRPr="009D400D" w:rsidRDefault="00D339B2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3C0AAF51" w14:textId="77777777" w:rsidR="002239C2" w:rsidRPr="009D400D" w:rsidRDefault="002239C2" w:rsidP="00377218">
      <w:pPr>
        <w:spacing w:line="280" w:lineRule="atLeast"/>
        <w:ind w:firstLine="1296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p w14:paraId="1BA38886" w14:textId="63CC9F5D" w:rsidR="00377218" w:rsidRPr="009D400D" w:rsidRDefault="00377218" w:rsidP="00377218">
      <w:pPr>
        <w:spacing w:line="280" w:lineRule="atLeast"/>
        <w:ind w:firstLine="1296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9D400D">
        <w:rPr>
          <w:rFonts w:eastAsia="Times New Roman" w:cs="Times New Roman"/>
          <w:b/>
          <w:bCs/>
          <w:szCs w:val="24"/>
          <w:lang w:eastAsia="lt-LT"/>
        </w:rPr>
        <w:t>ŠVIETIMO IŠTEKLIAI</w:t>
      </w:r>
    </w:p>
    <w:p w14:paraId="6BB94B0D" w14:textId="77777777" w:rsidR="00377218" w:rsidRPr="009D400D" w:rsidRDefault="00377218" w:rsidP="00377218">
      <w:pPr>
        <w:spacing w:line="280" w:lineRule="atLeast"/>
        <w:ind w:firstLine="0"/>
        <w:rPr>
          <w:rFonts w:eastAsia="Times New Roman" w:cs="Times New Roman"/>
          <w:szCs w:val="24"/>
          <w:lang w:eastAsia="lt-L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491"/>
        <w:gridCol w:w="8924"/>
        <w:gridCol w:w="2234"/>
      </w:tblGrid>
      <w:tr w:rsidR="009D400D" w:rsidRPr="009D400D" w14:paraId="050F0DA8" w14:textId="77777777" w:rsidTr="002C494A">
        <w:tc>
          <w:tcPr>
            <w:tcW w:w="1665" w:type="dxa"/>
            <w:shd w:val="clear" w:color="auto" w:fill="auto"/>
          </w:tcPr>
          <w:p w14:paraId="3E8131C7" w14:textId="77777777" w:rsidR="001C159E" w:rsidRPr="009D400D" w:rsidRDefault="001C159E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>Kriterijus</w:t>
            </w:r>
          </w:p>
        </w:tc>
        <w:tc>
          <w:tcPr>
            <w:tcW w:w="2583" w:type="dxa"/>
            <w:shd w:val="clear" w:color="auto" w:fill="auto"/>
          </w:tcPr>
          <w:p w14:paraId="7D5F631A" w14:textId="77777777" w:rsidR="001C159E" w:rsidRPr="009D400D" w:rsidRDefault="001C159E" w:rsidP="00AB4EDB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Siekinys</w:t>
            </w:r>
          </w:p>
        </w:tc>
        <w:tc>
          <w:tcPr>
            <w:tcW w:w="8788" w:type="dxa"/>
            <w:shd w:val="clear" w:color="auto" w:fill="auto"/>
          </w:tcPr>
          <w:p w14:paraId="4F69C50B" w14:textId="77777777" w:rsidR="001C159E" w:rsidRPr="009D400D" w:rsidRDefault="001C159E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Pasiektas rezultatas</w:t>
            </w:r>
          </w:p>
        </w:tc>
        <w:tc>
          <w:tcPr>
            <w:tcW w:w="2268" w:type="dxa"/>
            <w:shd w:val="clear" w:color="auto" w:fill="auto"/>
          </w:tcPr>
          <w:p w14:paraId="27B926B7" w14:textId="68ACB2BA" w:rsidR="001C159E" w:rsidRPr="009D400D" w:rsidRDefault="002A11D7" w:rsidP="00377218">
            <w:pPr>
              <w:spacing w:line="280" w:lineRule="atLeast"/>
              <w:ind w:firstLine="0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Pažanga</w:t>
            </w:r>
          </w:p>
        </w:tc>
      </w:tr>
      <w:tr w:rsidR="009D400D" w:rsidRPr="009D400D" w14:paraId="5BE1D7FD" w14:textId="77777777" w:rsidTr="002C494A">
        <w:tc>
          <w:tcPr>
            <w:tcW w:w="1665" w:type="dxa"/>
            <w:shd w:val="clear" w:color="auto" w:fill="auto"/>
          </w:tcPr>
          <w:p w14:paraId="2D8B8AF9" w14:textId="3116B1C4" w:rsidR="001C159E" w:rsidRPr="009D400D" w:rsidRDefault="001C159E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Švietimo finansavimas</w:t>
            </w:r>
          </w:p>
          <w:p w14:paraId="4EAE842B" w14:textId="77777777" w:rsidR="001C159E" w:rsidRPr="009D400D" w:rsidRDefault="001C159E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</w:p>
        </w:tc>
        <w:tc>
          <w:tcPr>
            <w:tcW w:w="2583" w:type="dxa"/>
            <w:shd w:val="clear" w:color="auto" w:fill="auto"/>
          </w:tcPr>
          <w:p w14:paraId="5D5F3AFC" w14:textId="763FC681" w:rsidR="001C159E" w:rsidRPr="009D400D" w:rsidRDefault="001C159E" w:rsidP="00377218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Maksimaliai </w:t>
            </w:r>
            <w:r w:rsidR="00C20359" w:rsidRPr="009D400D">
              <w:rPr>
                <w:rFonts w:eastAsia="Times New Roman" w:cs="Times New Roman"/>
                <w:szCs w:val="24"/>
                <w:lang w:eastAsia="lt-LT"/>
              </w:rPr>
              <w:t xml:space="preserve">tikslingai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panaudoti lėšas mokinių ugdymui.</w:t>
            </w:r>
          </w:p>
        </w:tc>
        <w:tc>
          <w:tcPr>
            <w:tcW w:w="8788" w:type="dxa"/>
            <w:shd w:val="clear" w:color="auto" w:fill="auto"/>
          </w:tcPr>
          <w:p w14:paraId="3FE607E2" w14:textId="77777777" w:rsidR="002C494A" w:rsidRPr="009D400D" w:rsidRDefault="009000AC" w:rsidP="002C494A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Savivaldybė švietim</w:t>
            </w:r>
            <w:r w:rsidR="00C20359" w:rsidRPr="009D400D">
              <w:rPr>
                <w:rFonts w:eastAsia="Times New Roman" w:cs="Times New Roman"/>
                <w:szCs w:val="24"/>
                <w:lang w:eastAsia="lt-LT"/>
              </w:rPr>
              <w:t>o srities finansavimui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 skiria pakankamai lėšų, atlyginimai mokami laiku, švietimo įstaigos įsiskolinimų neturi. </w:t>
            </w:r>
          </w:p>
          <w:p w14:paraId="07D24E52" w14:textId="4346779C" w:rsidR="00C045A0" w:rsidRPr="009D400D" w:rsidRDefault="00C20359" w:rsidP="00C045A0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1C159E" w:rsidRPr="009D400D">
              <w:rPr>
                <w:rFonts w:cs="Palemonas"/>
              </w:rPr>
              <w:t xml:space="preserve">018 m. </w:t>
            </w:r>
            <w:r w:rsidRPr="009D400D">
              <w:rPr>
                <w:rFonts w:cs="Palemonas"/>
              </w:rPr>
              <w:t xml:space="preserve">valstybės tikslinės dotacijos </w:t>
            </w:r>
            <w:r w:rsidR="001C159E" w:rsidRPr="009D400D">
              <w:rPr>
                <w:rFonts w:cs="Palemonas"/>
              </w:rPr>
              <w:t>mokym</w:t>
            </w:r>
            <w:r w:rsidRPr="009D400D">
              <w:rPr>
                <w:rFonts w:cs="Palemonas"/>
              </w:rPr>
              <w:t>o</w:t>
            </w:r>
            <w:r w:rsidR="001C159E" w:rsidRPr="009D400D">
              <w:rPr>
                <w:rFonts w:cs="Palemonas"/>
              </w:rPr>
              <w:t xml:space="preserve"> lėš</w:t>
            </w:r>
            <w:r w:rsidRPr="009D400D">
              <w:rPr>
                <w:rFonts w:cs="Palemonas"/>
              </w:rPr>
              <w:t xml:space="preserve">ų </w:t>
            </w:r>
            <w:r w:rsidR="001C159E" w:rsidRPr="009D400D">
              <w:rPr>
                <w:rFonts w:cs="Palemonas"/>
              </w:rPr>
              <w:t xml:space="preserve">skirta 3513,12 tūkst. eurų. Vidutinė mokymo lėšų suma per metus vienam bendrojo ugdymo mokyklų mokiniui, kuris mokosi pagal pradinio, pagrindinio arba vidurinio ugdymo programą, teko 18025 eurų. </w:t>
            </w:r>
            <w:r w:rsidR="002C494A" w:rsidRPr="009D400D">
              <w:rPr>
                <w:rFonts w:cs="Palemonas"/>
              </w:rPr>
              <w:t xml:space="preserve">Plg. 2017 m. </w:t>
            </w:r>
            <w:r w:rsidR="006F77B9" w:rsidRPr="009D400D">
              <w:rPr>
                <w:rFonts w:cs="Palemonas"/>
              </w:rPr>
              <w:t xml:space="preserve">- </w:t>
            </w:r>
            <w:r w:rsidR="001C159E" w:rsidRPr="009D400D">
              <w:rPr>
                <w:rFonts w:cs="Palemonas"/>
              </w:rPr>
              <w:t>skirta 4</w:t>
            </w:r>
            <w:r w:rsidR="00C045A0" w:rsidRPr="009D400D">
              <w:rPr>
                <w:rFonts w:cs="Palemonas"/>
              </w:rPr>
              <w:t xml:space="preserve">312,5 </w:t>
            </w:r>
            <w:r w:rsidR="001C159E" w:rsidRPr="009D400D">
              <w:rPr>
                <w:rFonts w:cs="Palemonas"/>
              </w:rPr>
              <w:t xml:space="preserve">tūkst. eurų, vienam </w:t>
            </w:r>
            <w:r w:rsidR="00C045A0" w:rsidRPr="009D400D">
              <w:rPr>
                <w:rFonts w:cs="Palemonas"/>
              </w:rPr>
              <w:t xml:space="preserve">sutartiniam </w:t>
            </w:r>
            <w:r w:rsidR="001C159E" w:rsidRPr="009D400D">
              <w:rPr>
                <w:rFonts w:cs="Palemonas"/>
              </w:rPr>
              <w:t xml:space="preserve">mokiniui teko </w:t>
            </w:r>
            <w:r w:rsidR="00C045A0" w:rsidRPr="009D400D">
              <w:rPr>
                <w:rFonts w:cs="Palemonas"/>
              </w:rPr>
              <w:t>1059</w:t>
            </w:r>
            <w:r w:rsidR="001C159E" w:rsidRPr="009D400D">
              <w:rPr>
                <w:rFonts w:cs="Palemonas"/>
              </w:rPr>
              <w:t xml:space="preserve"> eurai.  </w:t>
            </w:r>
          </w:p>
          <w:p w14:paraId="142C0C34" w14:textId="786EAA1C" w:rsidR="00C045A0" w:rsidRPr="009D400D" w:rsidRDefault="001C159E" w:rsidP="00C045A0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>Savivaldybė švietimo įstaigų ūkio ir kito inventoriaus atnaujinimui kiekvienais metais skiria lėš</w:t>
            </w:r>
            <w:r w:rsidR="002C494A" w:rsidRPr="009D400D">
              <w:rPr>
                <w:rFonts w:cs="Palemonas"/>
              </w:rPr>
              <w:t>ų</w:t>
            </w:r>
            <w:r w:rsidRPr="009D400D">
              <w:rPr>
                <w:rFonts w:cs="Palemonas"/>
              </w:rPr>
              <w:t xml:space="preserve"> mokykloms pagal jų poreikius. Bendrojo ugdymo mokyklų aplink</w:t>
            </w:r>
            <w:r w:rsidR="002C494A" w:rsidRPr="009D400D">
              <w:rPr>
                <w:rFonts w:cs="Palemonas"/>
              </w:rPr>
              <w:t>os išlaikymui</w:t>
            </w:r>
            <w:r w:rsidRPr="009D400D">
              <w:rPr>
                <w:rFonts w:cs="Palemonas"/>
              </w:rPr>
              <w:t xml:space="preserve"> 2018 m. </w:t>
            </w:r>
            <w:r w:rsidR="002C494A" w:rsidRPr="009D400D">
              <w:rPr>
                <w:rFonts w:cs="Palemonas"/>
              </w:rPr>
              <w:t>Savivaldybė</w:t>
            </w:r>
            <w:r w:rsidRPr="009D400D">
              <w:rPr>
                <w:rFonts w:cs="Palemonas"/>
              </w:rPr>
              <w:t xml:space="preserve"> skyrė 1488,8 tūkst. </w:t>
            </w:r>
            <w:r w:rsidR="009D400D" w:rsidRPr="009D400D">
              <w:rPr>
                <w:rFonts w:cs="Palemonas"/>
              </w:rPr>
              <w:t>e</w:t>
            </w:r>
            <w:r w:rsidRPr="009D400D">
              <w:rPr>
                <w:rFonts w:cs="Palemonas"/>
              </w:rPr>
              <w:t>urų</w:t>
            </w:r>
            <w:r w:rsidR="002C494A" w:rsidRPr="009D400D">
              <w:rPr>
                <w:rFonts w:cs="Palemonas"/>
              </w:rPr>
              <w:t>.</w:t>
            </w:r>
            <w:r w:rsidR="009D400D" w:rsidRPr="009D400D">
              <w:rPr>
                <w:rFonts w:cs="Palemonas"/>
              </w:rPr>
              <w:t xml:space="preserve"> (2017 m. – 1350,29 </w:t>
            </w:r>
            <w:proofErr w:type="spellStart"/>
            <w:r w:rsidR="009D400D" w:rsidRPr="009D400D">
              <w:rPr>
                <w:rFonts w:cs="Palemonas"/>
              </w:rPr>
              <w:t>tūks</w:t>
            </w:r>
            <w:proofErr w:type="spellEnd"/>
            <w:r w:rsidR="009D400D" w:rsidRPr="009D400D">
              <w:rPr>
                <w:rFonts w:cs="Palemonas"/>
              </w:rPr>
              <w:t>. eurų)</w:t>
            </w:r>
            <w:r w:rsidRPr="009D400D">
              <w:rPr>
                <w:rFonts w:cs="Palemonas"/>
              </w:rPr>
              <w:t xml:space="preserve"> </w:t>
            </w:r>
            <w:r w:rsidR="002C494A" w:rsidRPr="009D400D">
              <w:rPr>
                <w:rFonts w:cs="Palemonas"/>
              </w:rPr>
              <w:t>V</w:t>
            </w:r>
            <w:r w:rsidRPr="009D400D">
              <w:rPr>
                <w:rFonts w:cs="Palemonas"/>
              </w:rPr>
              <w:t>idutinė mokyklos aplinkai steigėjo skirtų lėšų suma per metus vienam mokyklos mokiniui, kuris mokosi pagal pradinio, pagrindinio arba vidurinio ugdymo programą - 834 eurų,</w:t>
            </w:r>
            <w:r w:rsidR="009D400D" w:rsidRPr="009D400D">
              <w:rPr>
                <w:rFonts w:cs="Palemonas"/>
              </w:rPr>
              <w:t xml:space="preserve"> (2017 m. -773 eurų).</w:t>
            </w:r>
          </w:p>
          <w:p w14:paraId="7D363C03" w14:textId="2982D2D8" w:rsidR="001C159E" w:rsidRPr="009D400D" w:rsidRDefault="001C159E" w:rsidP="009D400D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 xml:space="preserve">2018 m. vidutinė vienam mokiniui tenkanti lėšų suma </w:t>
            </w:r>
            <w:r w:rsidR="002C494A" w:rsidRPr="009D400D">
              <w:rPr>
                <w:rFonts w:cs="Palemonas"/>
              </w:rPr>
              <w:t>–</w:t>
            </w:r>
            <w:r w:rsidRPr="009D400D">
              <w:rPr>
                <w:rFonts w:cs="Palemonas"/>
              </w:rPr>
              <w:t xml:space="preserve"> 25663 eurų.</w:t>
            </w:r>
            <w:r w:rsidR="009D400D" w:rsidRPr="009D400D">
              <w:rPr>
                <w:rFonts w:cs="Palemonas"/>
              </w:rPr>
              <w:t xml:space="preserve"> (2017 m. - 18798 </w:t>
            </w:r>
            <w:r w:rsidR="00BC62C5" w:rsidRPr="009D400D">
              <w:rPr>
                <w:rFonts w:cs="Palemonas"/>
              </w:rPr>
              <w:t xml:space="preserve">  </w:t>
            </w:r>
            <w:r w:rsidR="009D400D" w:rsidRPr="009D400D">
              <w:rPr>
                <w:rFonts w:cs="Palemonas"/>
              </w:rPr>
              <w:t>eurų ).</w:t>
            </w:r>
          </w:p>
        </w:tc>
        <w:tc>
          <w:tcPr>
            <w:tcW w:w="2268" w:type="dxa"/>
            <w:shd w:val="clear" w:color="auto" w:fill="auto"/>
          </w:tcPr>
          <w:p w14:paraId="3C23CECB" w14:textId="48F8CFEB" w:rsidR="001C159E" w:rsidRPr="009D400D" w:rsidRDefault="009000AC" w:rsidP="001C159E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Pažanga </w:t>
            </w:r>
            <w:r w:rsidR="002C494A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neskaičiuojama</w:t>
            </w:r>
            <w:r w:rsidR="00B77164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, nes tai tiesiogiai priklauso nuo skiriamų tikslinių dotacijų.</w:t>
            </w:r>
          </w:p>
          <w:p w14:paraId="682603CD" w14:textId="4950837B" w:rsidR="001C159E" w:rsidRPr="009D400D" w:rsidRDefault="001C159E" w:rsidP="003C1AF4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</w:p>
        </w:tc>
      </w:tr>
      <w:tr w:rsidR="009D400D" w:rsidRPr="009D400D" w14:paraId="21A2E07D" w14:textId="77777777" w:rsidTr="002C494A">
        <w:tc>
          <w:tcPr>
            <w:tcW w:w="1665" w:type="dxa"/>
            <w:vMerge w:val="restart"/>
            <w:shd w:val="clear" w:color="auto" w:fill="auto"/>
          </w:tcPr>
          <w:p w14:paraId="0227DA68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Mokinio krepšelio lėšų panaudojimas pagal reikmes</w:t>
            </w:r>
          </w:p>
          <w:p w14:paraId="4DF284EC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14:paraId="6BE233F7" w14:textId="0042FFB8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Maksimaliai panaudoti MK lėšas mokinių ugdymui.</w:t>
            </w:r>
          </w:p>
        </w:tc>
        <w:tc>
          <w:tcPr>
            <w:tcW w:w="8788" w:type="dxa"/>
            <w:shd w:val="clear" w:color="auto" w:fill="auto"/>
          </w:tcPr>
          <w:p w14:paraId="55389D10" w14:textId="77777777" w:rsidR="002C494A" w:rsidRPr="009D400D" w:rsidRDefault="009000AC" w:rsidP="002C494A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Mokinio krepšelio lėšų panaudojimo pagal reikmes rodiklio vertė 2018 m. kokybiškai išaugo. Mokyklos daug dėmesio skyrė naujų vadovėlių įsigijimui ir mokymo priemonių atnaujinimui.</w:t>
            </w:r>
          </w:p>
          <w:p w14:paraId="5FF08097" w14:textId="2C5EE6F6" w:rsidR="00BC62C5" w:rsidRPr="009D400D" w:rsidRDefault="009000AC" w:rsidP="006F45E0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cs="Palemonas"/>
              </w:rPr>
              <w:t>Vadovėliams  ir kitoms mokymo priemonėms įsigyti 2018 m. iš mokymo lėšų buvo skirta 38301,00 eurų, panaudota 95,9 % skirtų lėšų.</w:t>
            </w:r>
            <w:r w:rsidR="00BC62C5" w:rsidRPr="009D400D">
              <w:rPr>
                <w:rFonts w:cs="Palemonas"/>
              </w:rPr>
              <w:t xml:space="preserve"> Palyginus su 2017 m. </w:t>
            </w:r>
            <w:r w:rsidR="00BC62C5" w:rsidRPr="009D400D">
              <w:rPr>
                <w:rFonts w:eastAsia="Times New Roman" w:cs="Times New Roman"/>
                <w:szCs w:val="24"/>
                <w:lang w:eastAsia="lt-LT"/>
              </w:rPr>
              <w:t xml:space="preserve">vadovėliams įsigyti švietimo įstaigos panaudojo 82,13 % daugiau negu buvo skirta lėšų (perkeliant lėšas iš kitų MK finansavimo šaltinių) </w:t>
            </w:r>
          </w:p>
        </w:tc>
        <w:tc>
          <w:tcPr>
            <w:tcW w:w="2268" w:type="dxa"/>
            <w:shd w:val="clear" w:color="auto" w:fill="auto"/>
          </w:tcPr>
          <w:p w14:paraId="2882166B" w14:textId="7F58C90B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</w:t>
            </w:r>
            <w:r w:rsidR="002A11D7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.</w:t>
            </w:r>
          </w:p>
        </w:tc>
      </w:tr>
      <w:tr w:rsidR="009D400D" w:rsidRPr="009D400D" w14:paraId="3864A911" w14:textId="77777777" w:rsidTr="002C494A">
        <w:tc>
          <w:tcPr>
            <w:tcW w:w="1665" w:type="dxa"/>
            <w:vMerge/>
            <w:shd w:val="clear" w:color="auto" w:fill="auto"/>
          </w:tcPr>
          <w:p w14:paraId="008AD82E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14:paraId="69941C19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788" w:type="dxa"/>
            <w:shd w:val="clear" w:color="auto" w:fill="auto"/>
          </w:tcPr>
          <w:p w14:paraId="26391D72" w14:textId="46D1B28E" w:rsidR="006F45E0" w:rsidRPr="009D400D" w:rsidRDefault="009000AC" w:rsidP="006F45E0">
            <w:pPr>
              <w:widowControl w:val="0"/>
              <w:tabs>
                <w:tab w:val="left" w:pos="1293"/>
              </w:tabs>
              <w:overflowPunct w:val="0"/>
              <w:ind w:firstLine="1143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Pr="009D400D">
              <w:rPr>
                <w:rFonts w:cs="Palemonas"/>
              </w:rPr>
              <w:t>18 m. BUM mokytojų kvalifikacijai tobulinti skirta 13426,00 eurų, panaudota 10107,00 eurų., t. y. 75,26 %</w:t>
            </w:r>
            <w:r w:rsidR="006F45E0" w:rsidRPr="009D400D">
              <w:rPr>
                <w:rFonts w:cs="Palemonas"/>
              </w:rPr>
              <w:t xml:space="preserve">. </w:t>
            </w:r>
            <w:r w:rsidR="006F45E0" w:rsidRPr="009D400D">
              <w:rPr>
                <w:rFonts w:eastAsia="Times New Roman" w:cs="Times New Roman"/>
                <w:szCs w:val="24"/>
                <w:lang w:eastAsia="lt-LT"/>
              </w:rPr>
              <w:t xml:space="preserve">2017 m. mokytojų kvalifikacijai tobulinti švietimo įstaigose buvo panaudota 82,9 % mokinio krepšelio lėšų, skirtų kvalifikacijos tobulinimui </w:t>
            </w:r>
          </w:p>
          <w:p w14:paraId="049DB3C0" w14:textId="77777777" w:rsidR="002C494A" w:rsidRPr="009D400D" w:rsidRDefault="009000AC" w:rsidP="002C494A">
            <w:pPr>
              <w:widowControl w:val="0"/>
              <w:tabs>
                <w:tab w:val="left" w:pos="1293"/>
              </w:tabs>
              <w:overflowPunct w:val="0"/>
              <w:ind w:right="-142" w:firstLine="1143"/>
              <w:jc w:val="both"/>
              <w:textAlignment w:val="baseline"/>
              <w:rPr>
                <w:rFonts w:cs="Palemonas"/>
              </w:rPr>
            </w:pPr>
            <w:r w:rsidRPr="009D400D">
              <w:rPr>
                <w:rFonts w:cs="Palemonas"/>
              </w:rPr>
              <w:t xml:space="preserve">Dalį mokytojų kvalifikacijai skirtų lėšų mokyklos panaudoja kitoms reikmėms. </w:t>
            </w:r>
          </w:p>
          <w:p w14:paraId="1DFA539A" w14:textId="77777777" w:rsidR="009000AC" w:rsidRPr="009D400D" w:rsidRDefault="009000AC" w:rsidP="002C494A">
            <w:pPr>
              <w:widowControl w:val="0"/>
              <w:tabs>
                <w:tab w:val="left" w:pos="1293"/>
              </w:tabs>
              <w:overflowPunct w:val="0"/>
              <w:ind w:right="-142" w:firstLine="1143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  <w:p w14:paraId="7206DE8C" w14:textId="3E4FFF1A" w:rsidR="006F45E0" w:rsidRPr="009D400D" w:rsidRDefault="006F45E0" w:rsidP="002C494A">
            <w:pPr>
              <w:widowControl w:val="0"/>
              <w:tabs>
                <w:tab w:val="left" w:pos="1293"/>
              </w:tabs>
              <w:overflowPunct w:val="0"/>
              <w:ind w:right="-142" w:firstLine="1143"/>
              <w:jc w:val="both"/>
              <w:textAlignment w:val="baseline"/>
              <w:rPr>
                <w:rFonts w:cs="Palemonas"/>
              </w:rPr>
            </w:pPr>
          </w:p>
        </w:tc>
        <w:tc>
          <w:tcPr>
            <w:tcW w:w="2268" w:type="dxa"/>
            <w:shd w:val="clear" w:color="auto" w:fill="auto"/>
          </w:tcPr>
          <w:p w14:paraId="0C9482A5" w14:textId="19072E1F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nepadaryta</w:t>
            </w:r>
            <w:r w:rsidR="00B77164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, nes mokyklų administracija daugiau skyrė dėmesio mokytojų tikslinei kvalifikacijai. Be to, Savivaldybė </w:t>
            </w:r>
            <w:r w:rsidR="00B41D74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nuo 2018 m. įsitraukė į „Lyderių laikas 3“ veiklas.</w:t>
            </w:r>
          </w:p>
        </w:tc>
      </w:tr>
      <w:tr w:rsidR="009D400D" w:rsidRPr="009D400D" w14:paraId="55B4CA7E" w14:textId="77777777" w:rsidTr="002C494A">
        <w:tc>
          <w:tcPr>
            <w:tcW w:w="1665" w:type="dxa"/>
            <w:shd w:val="clear" w:color="auto" w:fill="auto"/>
          </w:tcPr>
          <w:p w14:paraId="08B6C2B4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>Pedagogų kvalifikacija</w:t>
            </w:r>
          </w:p>
        </w:tc>
        <w:tc>
          <w:tcPr>
            <w:tcW w:w="2583" w:type="dxa"/>
            <w:shd w:val="clear" w:color="auto" w:fill="auto"/>
          </w:tcPr>
          <w:p w14:paraId="6658187A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Siekti, kad Savivaldybės švietimo įstaigose dirbtų 80 % aukštos kvalifikacijos pedagogų</w:t>
            </w:r>
          </w:p>
        </w:tc>
        <w:tc>
          <w:tcPr>
            <w:tcW w:w="8788" w:type="dxa"/>
            <w:shd w:val="clear" w:color="auto" w:fill="auto"/>
          </w:tcPr>
          <w:p w14:paraId="397212B4" w14:textId="77777777" w:rsidR="00B77164" w:rsidRPr="009D400D" w:rsidRDefault="00C07474" w:rsidP="00B77164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Švietimo įstaigos daug dėmesio skiria mokytojų turimos kvalifikacinės kategorijos atitikčiai, todėl kasmet į pedagogų atestacijos programą įtraukiama tik 3-4 % pedagogų, siekiančių įgyti aukštesnę kategoriją arba neturinčių kategorijos.</w:t>
            </w:r>
          </w:p>
          <w:p w14:paraId="65887170" w14:textId="77777777" w:rsidR="00B41D74" w:rsidRPr="009D400D" w:rsidRDefault="00C07474" w:rsidP="00B41D74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>2018 m. aukščiausios kategorijos (ekspertų ir mokytojų metodininkų): bendrojo ugdymo mokyklose – 66,66 %, ikimokyklinio ugdymo mokyklose – 32,94%, neformaliojo vaikų švietimo mokyklose – 43,10 %</w:t>
            </w:r>
            <w:r w:rsidR="00B41D74" w:rsidRPr="009D400D">
              <w:rPr>
                <w:rFonts w:cs="Palemonas"/>
              </w:rPr>
              <w:t>.</w:t>
            </w:r>
          </w:p>
          <w:p w14:paraId="5CAFFD26" w14:textId="77296452" w:rsidR="006F45E0" w:rsidRPr="009D400D" w:rsidRDefault="00B41D74" w:rsidP="006F45E0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Palangos švietimo įstaigose 2017 m. dirbo 50,67 % aukštos kvalifikacijos pedagogų (metodininkai ir ekspertai), iš jų bendrojo ugdymo mokyklose – 60,27 % ikimokyklinio ugdymo mokyklose – 37,07 %, neformaliojo vaikų švietimo– 43,64 % pedagogų iš bendro mokytojų skaičiaus.</w:t>
            </w:r>
          </w:p>
        </w:tc>
        <w:tc>
          <w:tcPr>
            <w:tcW w:w="2268" w:type="dxa"/>
            <w:shd w:val="clear" w:color="auto" w:fill="auto"/>
          </w:tcPr>
          <w:p w14:paraId="480DD518" w14:textId="344DD355" w:rsidR="00C07474" w:rsidRPr="009D400D" w:rsidRDefault="00C07474" w:rsidP="00C07474">
            <w:pPr>
              <w:spacing w:line="280" w:lineRule="atLeast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Pažanga padaryta</w:t>
            </w:r>
            <w:r w:rsidR="00B41D74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, aukšta mokytojų kvalifikacija nulemia gerą mokinių mokymosi lygį ir aukštus akademinius mokinių pasiekimais.</w:t>
            </w:r>
          </w:p>
        </w:tc>
      </w:tr>
      <w:tr w:rsidR="009D400D" w:rsidRPr="009D400D" w14:paraId="4112DBD2" w14:textId="77777777" w:rsidTr="002C494A">
        <w:tc>
          <w:tcPr>
            <w:tcW w:w="1665" w:type="dxa"/>
            <w:shd w:val="clear" w:color="auto" w:fill="auto"/>
          </w:tcPr>
          <w:p w14:paraId="13C91646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Švietimo žmogiškieji ištekliai </w:t>
            </w:r>
          </w:p>
        </w:tc>
        <w:tc>
          <w:tcPr>
            <w:tcW w:w="2583" w:type="dxa"/>
            <w:shd w:val="clear" w:color="auto" w:fill="auto"/>
          </w:tcPr>
          <w:p w14:paraId="24682E62" w14:textId="617DE439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Siekti, kad švietimo įstaigose įdarbintų dalis jaunųjų pedagogų pasiektų 10 % iš bendro mokytojų skaičiaus</w:t>
            </w:r>
            <w:r w:rsidR="00B41D74" w:rsidRPr="009D400D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0DA4A7EA" w14:textId="77777777" w:rsidR="00B41D74" w:rsidRPr="009D400D" w:rsidRDefault="00C07474" w:rsidP="00B41D74">
            <w:pPr>
              <w:spacing w:line="280" w:lineRule="atLeast"/>
              <w:ind w:firstLine="1143"/>
              <w:jc w:val="both"/>
              <w:rPr>
                <w:noProof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Pedagogų bendruomenė sensta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9000AC" w:rsidRPr="009D400D">
              <w:rPr>
                <w:noProof/>
              </w:rPr>
              <w:t xml:space="preserve"> Bendrojo ugdymo mokyklose didėja dirbančių pensijinio amžiaus pedagogų. Dalis pedagogų, kuriems </w:t>
            </w:r>
            <w:r w:rsidR="00B41D74" w:rsidRPr="009D400D">
              <w:rPr>
                <w:noProof/>
              </w:rPr>
              <w:t>vadovaujantis teisės aktais buvo sudarytos sąlygos</w:t>
            </w:r>
            <w:r w:rsidR="009000AC" w:rsidRPr="009D400D">
              <w:rPr>
                <w:noProof/>
              </w:rPr>
              <w:t xml:space="preserve"> išeiti į pensiją</w:t>
            </w:r>
            <w:r w:rsidR="00B41D74" w:rsidRPr="009D400D">
              <w:rPr>
                <w:noProof/>
              </w:rPr>
              <w:t xml:space="preserve"> ir gauti kompensaciją</w:t>
            </w:r>
            <w:r w:rsidR="009000AC" w:rsidRPr="009D400D">
              <w:rPr>
                <w:noProof/>
              </w:rPr>
              <w:t xml:space="preserve">, pasinaudojo ŠMSM  pasiūlymu dėl išeitinių </w:t>
            </w:r>
            <w:r w:rsidR="00B41D74" w:rsidRPr="009D400D">
              <w:rPr>
                <w:noProof/>
              </w:rPr>
              <w:t>išmokų</w:t>
            </w:r>
            <w:r w:rsidR="009000AC" w:rsidRPr="009D400D">
              <w:rPr>
                <w:noProof/>
              </w:rPr>
              <w:t xml:space="preserve">. </w:t>
            </w:r>
          </w:p>
          <w:p w14:paraId="50A4E1CC" w14:textId="7A7436B7" w:rsidR="009000AC" w:rsidRPr="009D400D" w:rsidRDefault="00B41D74" w:rsidP="00B41D74">
            <w:pPr>
              <w:spacing w:line="280" w:lineRule="atLeast"/>
              <w:ind w:firstLine="1143"/>
              <w:jc w:val="both"/>
              <w:rPr>
                <w:noProof/>
              </w:rPr>
            </w:pPr>
            <w:r w:rsidRPr="009D400D">
              <w:rPr>
                <w:noProof/>
              </w:rPr>
              <w:t>Nuo 2017 m. jau stebima tendencija, kad m</w:t>
            </w:r>
            <w:r w:rsidR="009000AC" w:rsidRPr="009D400D">
              <w:rPr>
                <w:noProof/>
              </w:rPr>
              <w:t xml:space="preserve">okyklose vis dar trūksta kai kurių dalykų mokytojų, todėl šiuos dalykus dėsto  pensijinio amžiaus mokytojai: užsienio kalbos (anglų k., rusų k.), tiksliųjų mokslų (matematikos, chemijos), socialinių mokslų (geografijos), meninio ugdymo (technologijų) bei kūno kultūros ir  tikybos. </w:t>
            </w:r>
            <w:r w:rsidRPr="009D400D">
              <w:rPr>
                <w:noProof/>
              </w:rPr>
              <w:t>Š</w:t>
            </w:r>
            <w:r w:rsidR="009000AC" w:rsidRPr="009D400D">
              <w:rPr>
                <w:noProof/>
              </w:rPr>
              <w:t xml:space="preserve">ių iššvardintų mokomųjų dalykų mokytojų trūkumas </w:t>
            </w:r>
            <w:r w:rsidRPr="009D400D">
              <w:rPr>
                <w:noProof/>
              </w:rPr>
              <w:t>bus didžiausias ir</w:t>
            </w:r>
            <w:r w:rsidR="009000AC" w:rsidRPr="009D400D">
              <w:rPr>
                <w:noProof/>
              </w:rPr>
              <w:t xml:space="preserve"> ateityje. </w:t>
            </w:r>
          </w:p>
          <w:p w14:paraId="60772247" w14:textId="54423C8B" w:rsidR="009000AC" w:rsidRPr="009D400D" w:rsidRDefault="00695159" w:rsidP="00695159">
            <w:pPr>
              <w:widowControl w:val="0"/>
              <w:tabs>
                <w:tab w:val="left" w:pos="1293"/>
              </w:tabs>
              <w:overflowPunct w:val="0"/>
              <w:jc w:val="both"/>
              <w:textAlignment w:val="baseline"/>
              <w:rPr>
                <w:noProof/>
              </w:rPr>
            </w:pPr>
            <w:r w:rsidRPr="009D400D">
              <w:rPr>
                <w:noProof/>
                <w:lang w:eastAsia="lt-LT"/>
              </w:rPr>
              <w:drawing>
                <wp:inline distT="0" distB="0" distL="0" distR="0" wp14:anchorId="0C197BC3" wp14:editId="6E0CA7EB">
                  <wp:extent cx="4701540" cy="1733910"/>
                  <wp:effectExtent l="0" t="0" r="3810" b="0"/>
                  <wp:docPr id="2" name="Diagram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596DC3CB" w14:textId="28F23899" w:rsidR="00695159" w:rsidRPr="009D400D" w:rsidRDefault="00695159" w:rsidP="00F94F8C">
            <w:pPr>
              <w:widowControl w:val="0"/>
              <w:tabs>
                <w:tab w:val="left" w:pos="1293"/>
              </w:tabs>
              <w:overflowPunct w:val="0"/>
              <w:ind w:firstLine="1143"/>
              <w:jc w:val="both"/>
              <w:textAlignment w:val="baseline"/>
              <w:rPr>
                <w:noProof/>
              </w:rPr>
            </w:pPr>
            <w:r w:rsidRPr="009D400D">
              <w:rPr>
                <w:noProof/>
              </w:rPr>
              <w:t>Jaunų (iki 29 m. imtinai) pedagogų skaičius yra labai mažas: 2018</w:t>
            </w:r>
            <w:r w:rsidR="00F94F8C">
              <w:rPr>
                <w:noProof/>
              </w:rPr>
              <w:t xml:space="preserve"> m. d</w:t>
            </w:r>
            <w:r w:rsidRPr="009D400D">
              <w:rPr>
                <w:noProof/>
              </w:rPr>
              <w:t>irbo 1 asmuo, 2017 m. m. – 5 asmenys</w:t>
            </w:r>
            <w:r w:rsidR="00F94F8C">
              <w:rPr>
                <w:noProof/>
              </w:rPr>
              <w:t xml:space="preserve">. </w:t>
            </w:r>
            <w:r w:rsidR="00B41D74" w:rsidRPr="009D400D">
              <w:rPr>
                <w:rFonts w:eastAsia="SimSun" w:cs="Times New Roman"/>
                <w:szCs w:val="24"/>
                <w:lang w:eastAsia="zh-CN"/>
              </w:rPr>
              <w:t xml:space="preserve">Planuojama, kad </w:t>
            </w:r>
            <w:r w:rsidRPr="009D400D">
              <w:rPr>
                <w:rFonts w:eastAsia="SimSun" w:cs="Times New Roman"/>
                <w:szCs w:val="24"/>
                <w:lang w:eastAsia="zh-CN"/>
              </w:rPr>
              <w:t>2020 metais Palangos miesto savivaldybės švietimo įstaigose bus 62 pensinio amžiaus mokytojai.</w:t>
            </w:r>
          </w:p>
        </w:tc>
        <w:tc>
          <w:tcPr>
            <w:tcW w:w="2268" w:type="dxa"/>
            <w:shd w:val="clear" w:color="auto" w:fill="auto"/>
          </w:tcPr>
          <w:p w14:paraId="26DC0E86" w14:textId="667C04BF" w:rsidR="009000AC" w:rsidRPr="009D400D" w:rsidRDefault="00B41D74" w:rsidP="009000AC">
            <w:pPr>
              <w:spacing w:line="280" w:lineRule="atLeast"/>
              <w:ind w:firstLine="0"/>
              <w:jc w:val="both"/>
              <w:rPr>
                <w:rFonts w:eastAsia="SimSun" w:cs="Times New Roman"/>
                <w:b/>
                <w:bCs/>
                <w:szCs w:val="24"/>
                <w:lang w:eastAsia="zh-CN"/>
              </w:rPr>
            </w:pPr>
            <w:r w:rsidRPr="009D400D">
              <w:rPr>
                <w:rFonts w:eastAsia="SimSun" w:cs="Times New Roman"/>
                <w:b/>
                <w:bCs/>
                <w:szCs w:val="24"/>
                <w:lang w:eastAsia="zh-CN"/>
              </w:rPr>
              <w:t>Pokyčiai nėra ženklūs. Iškeltas tikslas nėra pasiektas.</w:t>
            </w:r>
          </w:p>
          <w:p w14:paraId="6325ED70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D400D" w:rsidRPr="009D400D" w14:paraId="70E8B894" w14:textId="77777777" w:rsidTr="002C494A">
        <w:tc>
          <w:tcPr>
            <w:tcW w:w="1665" w:type="dxa"/>
            <w:shd w:val="clear" w:color="auto" w:fill="auto"/>
          </w:tcPr>
          <w:p w14:paraId="0B87E3FB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Švietimo pagalbos 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>specialistų ištekliai</w:t>
            </w:r>
          </w:p>
        </w:tc>
        <w:tc>
          <w:tcPr>
            <w:tcW w:w="2583" w:type="dxa"/>
            <w:shd w:val="clear" w:color="auto" w:fill="auto"/>
          </w:tcPr>
          <w:p w14:paraId="7741BBBE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Siekti, kad švietimo įstaigose specialioji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pagalba būtų teikiama 100 % mokinių, kuriems reikalinga ši paslauga. </w:t>
            </w:r>
          </w:p>
        </w:tc>
        <w:tc>
          <w:tcPr>
            <w:tcW w:w="8788" w:type="dxa"/>
            <w:shd w:val="clear" w:color="auto" w:fill="auto"/>
          </w:tcPr>
          <w:p w14:paraId="28162E1D" w14:textId="77777777" w:rsidR="00B41D74" w:rsidRPr="009D400D" w:rsidRDefault="009000AC" w:rsidP="00B41D74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lastRenderedPageBreak/>
              <w:t xml:space="preserve">Visiems bendrojo ugdymo mokyklų mokiniams, kuriems buvo rekomenduota psichologinė ar/ir specialioji pedagoginė ir specialioji pagalba – suteikta. </w:t>
            </w:r>
          </w:p>
          <w:p w14:paraId="65A29EE2" w14:textId="77777777" w:rsidR="008A53EF" w:rsidRPr="009D400D" w:rsidRDefault="00B41D74" w:rsidP="008A53EF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lastRenderedPageBreak/>
              <w:t>„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 xml:space="preserve">Baltijos“ pagrindinėje mokykloje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įsteigtos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 xml:space="preserve"> specialiosios ir lavinamosios klasės, o l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opšelyje-darželyje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 xml:space="preserve"> „Žilvinas“ veikia specialiosios grupės vaikams, turintiems didelių ir labai didelių specialiųjų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ugdymosi 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 xml:space="preserve">poreikių. Mokyklose užtikrinama mokytojų padėjėjų pagalba specialiųjų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ugdymosi </w:t>
            </w:r>
            <w:r w:rsidR="00695159" w:rsidRPr="009D400D">
              <w:rPr>
                <w:rFonts w:eastAsia="Times New Roman" w:cs="Times New Roman"/>
                <w:szCs w:val="24"/>
                <w:lang w:eastAsia="lt-LT"/>
              </w:rPr>
              <w:t>poreikių mokiniams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, kurie ugdomi specialiosiose grupėse.</w:t>
            </w:r>
          </w:p>
          <w:p w14:paraId="7D616EBA" w14:textId="77777777" w:rsidR="008A53EF" w:rsidRPr="009D400D" w:rsidRDefault="009000AC" w:rsidP="008A53EF">
            <w:pPr>
              <w:spacing w:line="280" w:lineRule="atLeast"/>
              <w:ind w:firstLine="1143"/>
              <w:jc w:val="both"/>
              <w:rPr>
                <w:rFonts w:cs="Palemonas"/>
              </w:rPr>
            </w:pPr>
            <w:r w:rsidRPr="009D400D">
              <w:rPr>
                <w:rFonts w:cs="Palemonas"/>
              </w:rPr>
              <w:t>2018-2019 m. m. pagalbos mokiniui specialistų (logopedų, specialiųjų pedagogų, psichologų, judesio korekcijos pedagogų ir kt.) pagalba buvo suteikta spec</w:t>
            </w:r>
            <w:r w:rsidR="008A53EF" w:rsidRPr="009D400D">
              <w:rPr>
                <w:rFonts w:cs="Palemonas"/>
              </w:rPr>
              <w:t>ialiųjų</w:t>
            </w:r>
            <w:r w:rsidRPr="009D400D">
              <w:rPr>
                <w:rFonts w:cs="Palemonas"/>
              </w:rPr>
              <w:t xml:space="preserve"> poreikių turintiems mokiniams, kurie </w:t>
            </w:r>
            <w:r w:rsidR="008A53EF" w:rsidRPr="009D400D">
              <w:rPr>
                <w:rFonts w:cs="Palemonas"/>
              </w:rPr>
              <w:t xml:space="preserve">Palangoje </w:t>
            </w:r>
            <w:r w:rsidRPr="009D400D">
              <w:rPr>
                <w:rFonts w:cs="Palemonas"/>
              </w:rPr>
              <w:t>sudarė 26,49 % vis</w:t>
            </w:r>
            <w:r w:rsidR="008A53EF" w:rsidRPr="009D400D">
              <w:rPr>
                <w:rFonts w:cs="Palemonas"/>
              </w:rPr>
              <w:t>ų</w:t>
            </w:r>
            <w:r w:rsidRPr="009D400D">
              <w:rPr>
                <w:rFonts w:cs="Palemonas"/>
              </w:rPr>
              <w:t xml:space="preserve"> mokinių skaičiaus: Logopedo pagalba buvo reikalinga (ir suteikta) – 9,63 % mokinių, specialiojo pedagogo – 4,76 %, judesio ir padėties korekcijos pedagogo – 0,73 %, mokytojo padėjėjo – 3,64 %, visų specialistų – 7,73 %.</w:t>
            </w:r>
          </w:p>
          <w:p w14:paraId="4DC5D4B1" w14:textId="77777777" w:rsidR="008A53EF" w:rsidRPr="009D400D" w:rsidRDefault="003E693E" w:rsidP="008A53EF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>2018 m. specialioji pagalba buvo reikalinga 26,49 % bendrojo ugdymo mokyklų mokiniams ir 20,59 % ikimokyklinio ugdymo mokyklų vaikams (</w:t>
            </w:r>
            <w:r w:rsidR="008A53EF" w:rsidRPr="009D400D">
              <w:rPr>
                <w:rFonts w:eastAsia="Times New Roman" w:cs="Times New Roman"/>
                <w:szCs w:val="24"/>
                <w:lang w:eastAsia="lt-LT"/>
              </w:rPr>
              <w:t xml:space="preserve">plg. </w:t>
            </w:r>
            <w:r w:rsidRPr="009D400D">
              <w:rPr>
                <w:rFonts w:eastAsia="Times New Roman" w:cs="Times New Roman"/>
                <w:szCs w:val="24"/>
                <w:lang w:eastAsia="lt-LT"/>
              </w:rPr>
              <w:t>2017 m. atitinkamai 17,14 % ir 27,57 %).</w:t>
            </w:r>
          </w:p>
          <w:p w14:paraId="3D88AA9E" w14:textId="397D6A6F" w:rsidR="009000AC" w:rsidRPr="009D400D" w:rsidRDefault="003E693E" w:rsidP="008A53EF">
            <w:pPr>
              <w:spacing w:line="280" w:lineRule="atLeast"/>
              <w:ind w:firstLine="1143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szCs w:val="24"/>
                <w:lang w:eastAsia="lt-LT"/>
              </w:rPr>
              <w:t xml:space="preserve">Pagalbos mokiniui specialistų skaičius </w:t>
            </w:r>
            <w:r w:rsidR="00C45C8B" w:rsidRPr="009D400D">
              <w:rPr>
                <w:rFonts w:eastAsia="Times New Roman" w:cs="Times New Roman"/>
                <w:szCs w:val="24"/>
                <w:lang w:eastAsia="lt-LT"/>
              </w:rPr>
              <w:t xml:space="preserve">padidėjo: 2017-2018 m. m. mokyklose dirbo 21 specialistas , 2018-2019 m. m. – 28. </w:t>
            </w:r>
          </w:p>
        </w:tc>
        <w:tc>
          <w:tcPr>
            <w:tcW w:w="2268" w:type="dxa"/>
            <w:shd w:val="clear" w:color="auto" w:fill="auto"/>
          </w:tcPr>
          <w:p w14:paraId="1A603AA0" w14:textId="460D9E39" w:rsidR="009000AC" w:rsidRPr="009D400D" w:rsidRDefault="002A11D7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lastRenderedPageBreak/>
              <w:t xml:space="preserve">Pažanga padaryta, planuota reikšmė </w:t>
            </w:r>
            <w:r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lastRenderedPageBreak/>
              <w:t>pasiekta</w:t>
            </w:r>
            <w:r w:rsidR="008A53EF" w:rsidRPr="009D400D">
              <w:rPr>
                <w:rFonts w:eastAsia="Times New Roman" w:cs="Times New Roman"/>
                <w:b/>
                <w:bCs/>
                <w:szCs w:val="24"/>
                <w:lang w:eastAsia="lt-LT"/>
              </w:rPr>
              <w:t>, visi vaikai, kuriems buvo reikalinga pagalba, mokyklose buvo teikiama.</w:t>
            </w:r>
          </w:p>
          <w:p w14:paraId="78B5C8E4" w14:textId="77777777" w:rsidR="009000AC" w:rsidRPr="009D400D" w:rsidRDefault="009000AC" w:rsidP="009000AC">
            <w:pPr>
              <w:spacing w:line="280" w:lineRule="atLeast"/>
              <w:ind w:firstLine="0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0F84B6D6" w14:textId="77777777" w:rsidR="00377218" w:rsidRPr="009D400D" w:rsidRDefault="00377218" w:rsidP="00377218">
      <w:pPr>
        <w:spacing w:line="280" w:lineRule="atLeast"/>
        <w:ind w:firstLine="0"/>
        <w:rPr>
          <w:rFonts w:eastAsia="Times New Roman" w:cs="Times New Roman"/>
          <w:b/>
          <w:bCs/>
          <w:szCs w:val="24"/>
          <w:lang w:eastAsia="lt-LT"/>
        </w:rPr>
      </w:pPr>
    </w:p>
    <w:p w14:paraId="7166E16B" w14:textId="77777777" w:rsidR="002D73A4" w:rsidRPr="009D400D" w:rsidRDefault="00377218" w:rsidP="00377218">
      <w:pPr>
        <w:jc w:val="center"/>
      </w:pPr>
      <w:r w:rsidRPr="009D400D">
        <w:t>______________________________</w:t>
      </w:r>
    </w:p>
    <w:sectPr w:rsidR="002D73A4" w:rsidRPr="009D400D" w:rsidSect="00682522">
      <w:headerReference w:type="default" r:id="rId13"/>
      <w:pgSz w:w="16838" w:h="11906" w:orient="landscape" w:code="9"/>
      <w:pgMar w:top="1701" w:right="851" w:bottom="567" w:left="851" w:header="567" w:footer="567" w:gutter="0"/>
      <w:paperSrc w:first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F393" w14:textId="77777777" w:rsidR="00160C0A" w:rsidRDefault="00160C0A">
      <w:pPr>
        <w:spacing w:line="240" w:lineRule="auto"/>
      </w:pPr>
      <w:r>
        <w:separator/>
      </w:r>
    </w:p>
  </w:endnote>
  <w:endnote w:type="continuationSeparator" w:id="0">
    <w:p w14:paraId="13A67EF4" w14:textId="77777777" w:rsidR="00160C0A" w:rsidRDefault="0016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8DB4" w14:textId="77777777" w:rsidR="00160C0A" w:rsidRDefault="00160C0A">
      <w:pPr>
        <w:spacing w:line="240" w:lineRule="auto"/>
      </w:pPr>
      <w:r>
        <w:separator/>
      </w:r>
    </w:p>
  </w:footnote>
  <w:footnote w:type="continuationSeparator" w:id="0">
    <w:p w14:paraId="52AA5A35" w14:textId="77777777" w:rsidR="00160C0A" w:rsidRDefault="0016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B576" w14:textId="1BCA52E4" w:rsidR="00EA6AC2" w:rsidRDefault="003772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E4378">
      <w:rPr>
        <w:noProof/>
      </w:rPr>
      <w:t>2</w:t>
    </w:r>
    <w:r>
      <w:fldChar w:fldCharType="end"/>
    </w:r>
  </w:p>
  <w:p w14:paraId="7EAE2F3E" w14:textId="77777777" w:rsidR="00EA6AC2" w:rsidRDefault="00160C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536F" w14:textId="3DAAD24D" w:rsidR="00EA6AC2" w:rsidRDefault="003772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E4378">
      <w:rPr>
        <w:noProof/>
      </w:rPr>
      <w:t>11</w:t>
    </w:r>
    <w:r>
      <w:fldChar w:fldCharType="end"/>
    </w:r>
  </w:p>
  <w:p w14:paraId="5C2AA6C2" w14:textId="77777777" w:rsidR="00EA6AC2" w:rsidRDefault="00160C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543"/>
    <w:multiLevelType w:val="singleLevel"/>
    <w:tmpl w:val="D46604CA"/>
    <w:lvl w:ilvl="0">
      <w:start w:val="1"/>
      <w:numFmt w:val="decimal"/>
      <w:lvlText w:val="%1."/>
      <w:legacy w:legacy="1" w:legacySpace="0" w:legacyIndent="308"/>
      <w:lvlJc w:val="left"/>
      <w:rPr>
        <w:rFonts w:ascii="Palemonas" w:eastAsia="Times New Roman" w:hAnsi="Palemonas" w:cs="Times New Roman"/>
      </w:rPr>
    </w:lvl>
  </w:abstractNum>
  <w:abstractNum w:abstractNumId="1" w15:restartNumberingAfterBreak="0">
    <w:nsid w:val="30E91DF1"/>
    <w:multiLevelType w:val="hybridMultilevel"/>
    <w:tmpl w:val="98AC8662"/>
    <w:lvl w:ilvl="0" w:tplc="0427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EAEE3762">
      <w:start w:val="1"/>
      <w:numFmt w:val="low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18"/>
    <w:rsid w:val="00007E39"/>
    <w:rsid w:val="000160C1"/>
    <w:rsid w:val="00034574"/>
    <w:rsid w:val="00057F46"/>
    <w:rsid w:val="000840B7"/>
    <w:rsid w:val="00094075"/>
    <w:rsid w:val="00096EEF"/>
    <w:rsid w:val="000D3139"/>
    <w:rsid w:val="000E4378"/>
    <w:rsid w:val="001220F6"/>
    <w:rsid w:val="00136D7D"/>
    <w:rsid w:val="001423DA"/>
    <w:rsid w:val="001516B5"/>
    <w:rsid w:val="00160C0A"/>
    <w:rsid w:val="001B340B"/>
    <w:rsid w:val="001B656A"/>
    <w:rsid w:val="001C159E"/>
    <w:rsid w:val="00222D2A"/>
    <w:rsid w:val="002239C2"/>
    <w:rsid w:val="002A11D7"/>
    <w:rsid w:val="002C494A"/>
    <w:rsid w:val="002D73A4"/>
    <w:rsid w:val="0030474E"/>
    <w:rsid w:val="00342321"/>
    <w:rsid w:val="00351B63"/>
    <w:rsid w:val="00373571"/>
    <w:rsid w:val="00377218"/>
    <w:rsid w:val="003C1AF4"/>
    <w:rsid w:val="003D1826"/>
    <w:rsid w:val="003D1D18"/>
    <w:rsid w:val="003E693E"/>
    <w:rsid w:val="003F0C7D"/>
    <w:rsid w:val="00404872"/>
    <w:rsid w:val="00426EEA"/>
    <w:rsid w:val="00466768"/>
    <w:rsid w:val="005316E8"/>
    <w:rsid w:val="00573C51"/>
    <w:rsid w:val="00576B59"/>
    <w:rsid w:val="005E73FA"/>
    <w:rsid w:val="005F336A"/>
    <w:rsid w:val="00601C71"/>
    <w:rsid w:val="00601E06"/>
    <w:rsid w:val="0060336B"/>
    <w:rsid w:val="00607874"/>
    <w:rsid w:val="00665270"/>
    <w:rsid w:val="0068538B"/>
    <w:rsid w:val="0068744C"/>
    <w:rsid w:val="00695159"/>
    <w:rsid w:val="00696F47"/>
    <w:rsid w:val="006F45E0"/>
    <w:rsid w:val="006F77B9"/>
    <w:rsid w:val="0071395C"/>
    <w:rsid w:val="0073381A"/>
    <w:rsid w:val="00762F23"/>
    <w:rsid w:val="00784DB0"/>
    <w:rsid w:val="0079533C"/>
    <w:rsid w:val="00795596"/>
    <w:rsid w:val="007B03B0"/>
    <w:rsid w:val="008065CB"/>
    <w:rsid w:val="00830036"/>
    <w:rsid w:val="00855664"/>
    <w:rsid w:val="008A53EF"/>
    <w:rsid w:val="008D4185"/>
    <w:rsid w:val="008E32AB"/>
    <w:rsid w:val="008E71D6"/>
    <w:rsid w:val="008F5DAB"/>
    <w:rsid w:val="009000AC"/>
    <w:rsid w:val="00924E05"/>
    <w:rsid w:val="00965C5D"/>
    <w:rsid w:val="00981B4E"/>
    <w:rsid w:val="009B454E"/>
    <w:rsid w:val="009B7458"/>
    <w:rsid w:val="009D08A1"/>
    <w:rsid w:val="009D2055"/>
    <w:rsid w:val="009D400D"/>
    <w:rsid w:val="009F4B72"/>
    <w:rsid w:val="00A04D61"/>
    <w:rsid w:val="00AA104D"/>
    <w:rsid w:val="00AB4EDB"/>
    <w:rsid w:val="00AB66F7"/>
    <w:rsid w:val="00AF2797"/>
    <w:rsid w:val="00AF74F9"/>
    <w:rsid w:val="00B41D74"/>
    <w:rsid w:val="00B53096"/>
    <w:rsid w:val="00B77164"/>
    <w:rsid w:val="00B9714C"/>
    <w:rsid w:val="00BC62C5"/>
    <w:rsid w:val="00C045A0"/>
    <w:rsid w:val="00C07474"/>
    <w:rsid w:val="00C20359"/>
    <w:rsid w:val="00C40A74"/>
    <w:rsid w:val="00C45C8B"/>
    <w:rsid w:val="00C73F3C"/>
    <w:rsid w:val="00C80991"/>
    <w:rsid w:val="00C93CD2"/>
    <w:rsid w:val="00CB298B"/>
    <w:rsid w:val="00CC7218"/>
    <w:rsid w:val="00CD77C1"/>
    <w:rsid w:val="00D01AEC"/>
    <w:rsid w:val="00D05C15"/>
    <w:rsid w:val="00D339B2"/>
    <w:rsid w:val="00D60C3F"/>
    <w:rsid w:val="00DB2E87"/>
    <w:rsid w:val="00DB4589"/>
    <w:rsid w:val="00E075B2"/>
    <w:rsid w:val="00EE467E"/>
    <w:rsid w:val="00EE497D"/>
    <w:rsid w:val="00EF3B17"/>
    <w:rsid w:val="00F21C1A"/>
    <w:rsid w:val="00F355A0"/>
    <w:rsid w:val="00F8530D"/>
    <w:rsid w:val="00F93CAE"/>
    <w:rsid w:val="00F94F8C"/>
    <w:rsid w:val="00FA4522"/>
    <w:rsid w:val="00FC15C0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4AB92"/>
  <w15:chartTrackingRefBased/>
  <w15:docId w15:val="{98323B6F-A45F-47EB-91B7-0ED5360E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259" w:lineRule="auto"/>
        <w:ind w:firstLine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4">
    <w:name w:val="Char Char4"/>
    <w:basedOn w:val="prastasis"/>
    <w:rsid w:val="00377218"/>
    <w:pPr>
      <w:spacing w:after="160" w:line="240" w:lineRule="exact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377218"/>
    <w:pPr>
      <w:tabs>
        <w:tab w:val="center" w:pos="4819"/>
        <w:tab w:val="right" w:pos="9638"/>
      </w:tabs>
      <w:spacing w:line="240" w:lineRule="auto"/>
      <w:ind w:firstLine="0"/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7218"/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81B4E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Cs w:val="24"/>
      <w:lang w:eastAsia="lt-LT"/>
    </w:rPr>
  </w:style>
  <w:style w:type="paragraph" w:customStyle="1" w:styleId="Default">
    <w:name w:val="Default"/>
    <w:uiPriority w:val="99"/>
    <w:rsid w:val="00EE497D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Vienam mokiniui tenkantis praleistų ir nepateisintų pamokų skaičius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Lapas1!$D$4</c:f>
              <c:strCache>
                <c:ptCount val="1"/>
                <c:pt idx="0">
                  <c:v>Praleistų pamokų  skaičius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Lapas1!$C$5:$C$7</c:f>
              <c:strCache>
                <c:ptCount val="3"/>
                <c:pt idx="0">
                  <c:v>2016-2017  m. m.</c:v>
                </c:pt>
                <c:pt idx="1">
                  <c:v>2017-2018 m. m. </c:v>
                </c:pt>
                <c:pt idx="2">
                  <c:v>2018-2019 m.m. </c:v>
                </c:pt>
              </c:strCache>
            </c:strRef>
          </c:cat>
          <c:val>
            <c:numRef>
              <c:f>Lapas1!$D$5:$D$7</c:f>
              <c:numCache>
                <c:formatCode>General</c:formatCode>
                <c:ptCount val="3"/>
                <c:pt idx="0">
                  <c:v>67.599999999999994</c:v>
                </c:pt>
                <c:pt idx="1">
                  <c:v>73.599999999999994</c:v>
                </c:pt>
                <c:pt idx="2">
                  <c:v>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0-434F-B8F5-399E8CB36DA1}"/>
            </c:ext>
          </c:extLst>
        </c:ser>
        <c:ser>
          <c:idx val="1"/>
          <c:order val="1"/>
          <c:tx>
            <c:strRef>
              <c:f>Lapas1!$E$4</c:f>
              <c:strCache>
                <c:ptCount val="1"/>
                <c:pt idx="0">
                  <c:v>Nepateisintų pamokų skaičius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Lapas1!$C$5:$C$7</c:f>
              <c:strCache>
                <c:ptCount val="3"/>
                <c:pt idx="0">
                  <c:v>2016-2017  m. m.</c:v>
                </c:pt>
                <c:pt idx="1">
                  <c:v>2017-2018 m. m. </c:v>
                </c:pt>
                <c:pt idx="2">
                  <c:v>2018-2019 m.m. </c:v>
                </c:pt>
              </c:strCache>
            </c:strRef>
          </c:cat>
          <c:val>
            <c:numRef>
              <c:f>Lapas1!$E$5:$E$7</c:f>
              <c:numCache>
                <c:formatCode>General</c:formatCode>
                <c:ptCount val="3"/>
                <c:pt idx="0">
                  <c:v>11.8</c:v>
                </c:pt>
                <c:pt idx="1">
                  <c:v>10.3</c:v>
                </c:pt>
                <c:pt idx="2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20-434F-B8F5-399E8CB36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73296"/>
        <c:axId val="1"/>
      </c:barChart>
      <c:catAx>
        <c:axId val="20777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7773296"/>
        <c:crosses val="autoZero"/>
        <c:crossBetween val="between"/>
      </c:valAx>
      <c:spPr>
        <a:noFill/>
        <a:ln w="2536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45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981"/>
              <a:t>Pedagogų</a:t>
            </a:r>
            <a:r>
              <a:rPr lang="lt-LT" sz="981" baseline="0"/>
              <a:t> pasiskirstymas pagal amžių</a:t>
            </a:r>
          </a:p>
          <a:p>
            <a:pPr>
              <a:defRPr sz="945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981" baseline="0"/>
              <a:t>proc.  </a:t>
            </a:r>
          </a:p>
          <a:p>
            <a:pPr>
              <a:defRPr sz="945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981"/>
              <a:t> </a:t>
            </a:r>
          </a:p>
        </c:rich>
      </c:tx>
      <c:layout>
        <c:manualLayout>
          <c:xMode val="edge"/>
          <c:yMode val="edge"/>
          <c:x val="0.23780951629794189"/>
          <c:y val="3.2407269845986235E-2"/>
        </c:manualLayout>
      </c:layout>
      <c:overlay val="0"/>
      <c:spPr>
        <a:noFill/>
        <a:ln w="2492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333333333333332"/>
          <c:y val="0.20812182741116753"/>
          <c:w val="0.78749999999999998"/>
          <c:h val="0.32994923857868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Lapas1!$K$4</c:f>
              <c:strCache>
                <c:ptCount val="1"/>
                <c:pt idx="0">
                  <c:v>2018 m. </c:v>
                </c:pt>
              </c:strCache>
            </c:strRef>
          </c:tx>
          <c:spPr>
            <a:solidFill>
              <a:srgbClr val="4472C4"/>
            </a:solidFill>
            <a:ln w="24925">
              <a:noFill/>
            </a:ln>
          </c:spPr>
          <c:invertIfNegative val="0"/>
          <c:cat>
            <c:strRef>
              <c:f>Lapas1!$L$3:$P$3</c:f>
              <c:strCache>
                <c:ptCount val="5"/>
                <c:pt idx="0">
                  <c:v> Iki 30 m.</c:v>
                </c:pt>
                <c:pt idx="1">
                  <c:v>30-44 m.</c:v>
                </c:pt>
                <c:pt idx="2">
                  <c:v>45-59 m.</c:v>
                </c:pt>
                <c:pt idx="3">
                  <c:v>60-64 m.</c:v>
                </c:pt>
                <c:pt idx="4">
                  <c:v>65 ir vyresni</c:v>
                </c:pt>
              </c:strCache>
            </c:strRef>
          </c:cat>
          <c:val>
            <c:numRef>
              <c:f>Lapas1!$L$4:$P$4</c:f>
              <c:numCache>
                <c:formatCode>General</c:formatCode>
                <c:ptCount val="5"/>
                <c:pt idx="0">
                  <c:v>2.73</c:v>
                </c:pt>
                <c:pt idx="1">
                  <c:v>21.5</c:v>
                </c:pt>
                <c:pt idx="2">
                  <c:v>54.6</c:v>
                </c:pt>
                <c:pt idx="3">
                  <c:v>17.41</c:v>
                </c:pt>
                <c:pt idx="4">
                  <c:v>3.76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D-4C7E-9F53-AFD680DF4907}"/>
            </c:ext>
          </c:extLst>
        </c:ser>
        <c:ser>
          <c:idx val="1"/>
          <c:order val="1"/>
          <c:tx>
            <c:strRef>
              <c:f>Lapas1!$K$5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4925">
              <a:noFill/>
            </a:ln>
          </c:spPr>
          <c:invertIfNegative val="0"/>
          <c:cat>
            <c:strRef>
              <c:f>Lapas1!$L$3:$P$3</c:f>
              <c:strCache>
                <c:ptCount val="5"/>
                <c:pt idx="0">
                  <c:v> Iki 30 m.</c:v>
                </c:pt>
                <c:pt idx="1">
                  <c:v>30-44 m.</c:v>
                </c:pt>
                <c:pt idx="2">
                  <c:v>45-59 m.</c:v>
                </c:pt>
                <c:pt idx="3">
                  <c:v>60-64 m.</c:v>
                </c:pt>
                <c:pt idx="4">
                  <c:v>65 ir vyresni</c:v>
                </c:pt>
              </c:strCache>
            </c:strRef>
          </c:cat>
          <c:val>
            <c:numRef>
              <c:f>Lapas1!$L$5:$P$5</c:f>
              <c:numCache>
                <c:formatCode>General</c:formatCode>
                <c:ptCount val="5"/>
                <c:pt idx="0">
                  <c:v>1.71</c:v>
                </c:pt>
                <c:pt idx="1">
                  <c:v>19.52</c:v>
                </c:pt>
                <c:pt idx="2">
                  <c:v>54.11</c:v>
                </c:pt>
                <c:pt idx="3">
                  <c:v>19.52</c:v>
                </c:pt>
                <c:pt idx="4">
                  <c:v>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D-4C7E-9F53-AFD680DF4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634624"/>
        <c:axId val="1"/>
      </c:barChart>
      <c:catAx>
        <c:axId val="19963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34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8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34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23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9634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34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8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 w="24925">
          <a:noFill/>
        </a:ln>
      </c:spPr>
    </c:plotArea>
    <c:legend>
      <c:legendPos val="r"/>
      <c:layout>
        <c:manualLayout>
          <c:xMode val="edge"/>
          <c:yMode val="edge"/>
          <c:x val="0.38958333333333334"/>
          <c:y val="0.84771573604060912"/>
          <c:w val="0.23125000000000001"/>
          <c:h val="0.1116751269035533"/>
        </c:manualLayout>
      </c:layout>
      <c:overlay val="0"/>
      <c:spPr>
        <a:noFill/>
        <a:ln w="2492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8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34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5BF0-A7ED-43CC-A166-60BDFBC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15157</Words>
  <Characters>8640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Vargonienė</dc:creator>
  <cp:keywords/>
  <dc:description/>
  <cp:lastModifiedBy>Vaida Kostigova</cp:lastModifiedBy>
  <cp:revision>2</cp:revision>
  <cp:lastPrinted>2018-02-28T09:34:00Z</cp:lastPrinted>
  <dcterms:created xsi:type="dcterms:W3CDTF">2020-12-08T14:39:00Z</dcterms:created>
  <dcterms:modified xsi:type="dcterms:W3CDTF">2020-12-08T14:39:00Z</dcterms:modified>
</cp:coreProperties>
</file>